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2"/>
        <w:gridCol w:w="4989"/>
      </w:tblGrid>
      <w:tr w:rsidR="00C3165F" w:rsidRPr="006F4A93" w:rsidTr="00B25B45">
        <w:trPr>
          <w:trHeight w:val="1170"/>
        </w:trPr>
        <w:tc>
          <w:tcPr>
            <w:tcW w:w="4902" w:type="dxa"/>
            <w:shd w:val="clear" w:color="auto" w:fill="auto"/>
          </w:tcPr>
          <w:p w:rsidR="00C3165F" w:rsidRPr="006F4A93" w:rsidRDefault="00C3165F" w:rsidP="00D723FB">
            <w:pPr>
              <w:rPr>
                <w:rFonts w:ascii="Verdana" w:hAnsi="Verdana" w:cs="Arial"/>
                <w:sz w:val="24"/>
              </w:rPr>
            </w:pPr>
            <w:r w:rsidRPr="006F4A93">
              <w:rPr>
                <w:rFonts w:ascii="Verdana" w:hAnsi="Verdana" w:cs="Arial"/>
                <w:noProof/>
                <w:sz w:val="24"/>
              </w:rPr>
              <w:drawing>
                <wp:inline distT="0" distB="0" distL="0" distR="0">
                  <wp:extent cx="2764155" cy="690880"/>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4155" cy="690880"/>
                          </a:xfrm>
                          <a:prstGeom prst="rect">
                            <a:avLst/>
                          </a:prstGeom>
                          <a:noFill/>
                          <a:ln>
                            <a:noFill/>
                          </a:ln>
                        </pic:spPr>
                      </pic:pic>
                    </a:graphicData>
                  </a:graphic>
                </wp:inline>
              </w:drawing>
            </w:r>
          </w:p>
        </w:tc>
        <w:tc>
          <w:tcPr>
            <w:tcW w:w="4989" w:type="dxa"/>
            <w:shd w:val="clear" w:color="auto" w:fill="auto"/>
          </w:tcPr>
          <w:p w:rsidR="00C3165F" w:rsidRPr="006F4A93" w:rsidRDefault="00C3165F" w:rsidP="00D723FB">
            <w:pPr>
              <w:spacing w:before="120"/>
              <w:jc w:val="right"/>
              <w:rPr>
                <w:rFonts w:ascii="Verdana" w:hAnsi="Verdana" w:cs="Arial"/>
                <w:b/>
                <w:sz w:val="24"/>
              </w:rPr>
            </w:pPr>
            <w:r w:rsidRPr="006F4A93">
              <w:rPr>
                <w:rFonts w:ascii="Verdana" w:hAnsi="Verdana" w:cs="Arial"/>
                <w:b/>
                <w:sz w:val="24"/>
              </w:rPr>
              <w:t>AGENDA ITEM</w:t>
            </w:r>
            <w:r w:rsidR="00095727">
              <w:rPr>
                <w:rFonts w:ascii="Verdana" w:hAnsi="Verdana" w:cs="Arial"/>
                <w:b/>
                <w:sz w:val="24"/>
              </w:rPr>
              <w:t xml:space="preserve"> 2.</w:t>
            </w:r>
            <w:r w:rsidR="00ED014A">
              <w:rPr>
                <w:rFonts w:ascii="Verdana" w:hAnsi="Verdana" w:cs="Arial"/>
                <w:b/>
                <w:sz w:val="24"/>
              </w:rPr>
              <w:t>8</w:t>
            </w:r>
            <w:r w:rsidRPr="006F4A93">
              <w:rPr>
                <w:rFonts w:ascii="Verdana" w:hAnsi="Verdana" w:cs="Arial"/>
                <w:b/>
                <w:sz w:val="24"/>
              </w:rPr>
              <w:t xml:space="preserve"> </w:t>
            </w:r>
          </w:p>
          <w:p w:rsidR="00C3165F" w:rsidRPr="006F4A93" w:rsidRDefault="00C3165F" w:rsidP="00D723FB">
            <w:pPr>
              <w:jc w:val="right"/>
              <w:rPr>
                <w:rFonts w:ascii="Verdana" w:hAnsi="Verdana" w:cs="Arial"/>
                <w:b/>
                <w:sz w:val="24"/>
              </w:rPr>
            </w:pPr>
          </w:p>
          <w:p w:rsidR="00C3165F" w:rsidRPr="006F4A93" w:rsidRDefault="00440291" w:rsidP="00D723FB">
            <w:pPr>
              <w:jc w:val="right"/>
              <w:rPr>
                <w:rFonts w:ascii="Verdana" w:hAnsi="Verdana" w:cs="Arial"/>
                <w:sz w:val="24"/>
              </w:rPr>
            </w:pPr>
            <w:r w:rsidRPr="006F4A93">
              <w:rPr>
                <w:rFonts w:ascii="Verdana" w:hAnsi="Verdana" w:cs="Arial"/>
                <w:b/>
                <w:sz w:val="24"/>
              </w:rPr>
              <w:t>12 Nov</w:t>
            </w:r>
            <w:r w:rsidR="00095727">
              <w:rPr>
                <w:rFonts w:ascii="Verdana" w:hAnsi="Verdana" w:cs="Arial"/>
                <w:b/>
                <w:sz w:val="24"/>
              </w:rPr>
              <w:t>ember</w:t>
            </w:r>
            <w:r w:rsidRPr="006F4A93">
              <w:rPr>
                <w:rFonts w:ascii="Verdana" w:hAnsi="Verdana" w:cs="Arial"/>
                <w:b/>
                <w:sz w:val="24"/>
              </w:rPr>
              <w:t xml:space="preserve"> 2019</w:t>
            </w:r>
          </w:p>
        </w:tc>
      </w:tr>
    </w:tbl>
    <w:p w:rsidR="000F4E2D" w:rsidRPr="006F4A93" w:rsidRDefault="000F4E2D"/>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7"/>
      </w:tblGrid>
      <w:tr w:rsidR="00C3165F" w:rsidRPr="006F4A93" w:rsidTr="00B25B45">
        <w:trPr>
          <w:trHeight w:val="461"/>
        </w:trPr>
        <w:tc>
          <w:tcPr>
            <w:tcW w:w="9867" w:type="dxa"/>
            <w:tcBorders>
              <w:top w:val="single" w:sz="4" w:space="0" w:color="auto"/>
              <w:left w:val="single" w:sz="4" w:space="0" w:color="auto"/>
              <w:bottom w:val="single" w:sz="4" w:space="0" w:color="auto"/>
              <w:right w:val="single" w:sz="4" w:space="0" w:color="auto"/>
            </w:tcBorders>
            <w:shd w:val="clear" w:color="auto" w:fill="E6E6E6"/>
          </w:tcPr>
          <w:p w:rsidR="00C3165F" w:rsidRPr="006F4A93" w:rsidRDefault="00C3165F" w:rsidP="00D723FB">
            <w:pPr>
              <w:jc w:val="center"/>
              <w:rPr>
                <w:rFonts w:ascii="Verdana" w:hAnsi="Verdana" w:cs="Arial"/>
                <w:b/>
                <w:sz w:val="24"/>
              </w:rPr>
            </w:pPr>
            <w:r w:rsidRPr="006F4A93">
              <w:rPr>
                <w:rFonts w:ascii="Verdana" w:hAnsi="Verdana" w:cs="Arial"/>
                <w:b/>
                <w:sz w:val="24"/>
              </w:rPr>
              <w:t>Emergency Ambulance Services Committee Report</w:t>
            </w:r>
          </w:p>
        </w:tc>
      </w:tr>
      <w:tr w:rsidR="00C3165F" w:rsidRPr="006F4A93" w:rsidTr="00B25B45">
        <w:trPr>
          <w:trHeight w:val="461"/>
        </w:trPr>
        <w:tc>
          <w:tcPr>
            <w:tcW w:w="9867" w:type="dxa"/>
            <w:tcBorders>
              <w:top w:val="single" w:sz="4" w:space="0" w:color="auto"/>
              <w:left w:val="single" w:sz="4" w:space="0" w:color="auto"/>
              <w:bottom w:val="single" w:sz="4" w:space="0" w:color="auto"/>
              <w:right w:val="single" w:sz="4" w:space="0" w:color="auto"/>
            </w:tcBorders>
            <w:shd w:val="clear" w:color="auto" w:fill="auto"/>
          </w:tcPr>
          <w:p w:rsidR="00095727" w:rsidRDefault="00095727" w:rsidP="00B25B45">
            <w:pPr>
              <w:jc w:val="center"/>
              <w:rPr>
                <w:rFonts w:ascii="Verdana" w:hAnsi="Verdana"/>
                <w:b/>
                <w:w w:val="101"/>
                <w:sz w:val="24"/>
              </w:rPr>
            </w:pPr>
          </w:p>
          <w:p w:rsidR="00B25B45" w:rsidRDefault="00B25B45" w:rsidP="00B25B45">
            <w:pPr>
              <w:jc w:val="center"/>
              <w:rPr>
                <w:rFonts w:ascii="Verdana" w:hAnsi="Verdana"/>
                <w:b/>
                <w:w w:val="101"/>
                <w:sz w:val="24"/>
              </w:rPr>
            </w:pPr>
            <w:r>
              <w:rPr>
                <w:rFonts w:ascii="Verdana" w:hAnsi="Verdana"/>
                <w:b/>
                <w:w w:val="101"/>
                <w:sz w:val="24"/>
              </w:rPr>
              <w:t>AMBULANCE QUALITY INDICATOR</w:t>
            </w:r>
            <w:bookmarkStart w:id="0" w:name="_GoBack"/>
            <w:bookmarkEnd w:id="0"/>
            <w:r>
              <w:rPr>
                <w:rFonts w:ascii="Verdana" w:hAnsi="Verdana"/>
                <w:b/>
                <w:w w:val="101"/>
                <w:sz w:val="24"/>
              </w:rPr>
              <w:t>S</w:t>
            </w:r>
          </w:p>
          <w:p w:rsidR="00B25B45" w:rsidRDefault="00B25B45" w:rsidP="00B25B45">
            <w:pPr>
              <w:jc w:val="center"/>
              <w:rPr>
                <w:rFonts w:ascii="Verdana" w:hAnsi="Verdana"/>
                <w:b/>
                <w:w w:val="101"/>
                <w:sz w:val="24"/>
              </w:rPr>
            </w:pPr>
            <w:r>
              <w:rPr>
                <w:rFonts w:ascii="Verdana" w:hAnsi="Verdana"/>
                <w:b/>
                <w:w w:val="101"/>
                <w:sz w:val="24"/>
              </w:rPr>
              <w:t>01 July 2019 – 30 September 2019</w:t>
            </w:r>
          </w:p>
          <w:p w:rsidR="00C3165F" w:rsidRPr="006F4A93" w:rsidRDefault="00C3165F" w:rsidP="00D723FB">
            <w:pPr>
              <w:jc w:val="both"/>
              <w:rPr>
                <w:rFonts w:ascii="Verdana" w:hAnsi="Verdana" w:cs="Arial"/>
                <w:sz w:val="24"/>
              </w:rPr>
            </w:pPr>
            <w:r w:rsidRPr="006F4A93">
              <w:rPr>
                <w:rFonts w:ascii="Verdana" w:hAnsi="Verdana" w:cs="Arial"/>
                <w:sz w:val="24"/>
              </w:rPr>
              <w:t xml:space="preserve"> </w:t>
            </w:r>
          </w:p>
        </w:tc>
      </w:tr>
    </w:tbl>
    <w:p w:rsidR="00C3165F" w:rsidRPr="006F4A93" w:rsidRDefault="00C3165F"/>
    <w:tbl>
      <w:tblPr>
        <w:tblW w:w="9885" w:type="dxa"/>
        <w:tblInd w:w="5" w:type="dxa"/>
        <w:tblLayout w:type="fixed"/>
        <w:tblCellMar>
          <w:left w:w="0" w:type="dxa"/>
          <w:right w:w="0" w:type="dxa"/>
        </w:tblCellMar>
        <w:tblLook w:val="01E0" w:firstRow="1" w:lastRow="1" w:firstColumn="1" w:lastColumn="1" w:noHBand="0" w:noVBand="0"/>
      </w:tblPr>
      <w:tblGrid>
        <w:gridCol w:w="2550"/>
        <w:gridCol w:w="24"/>
        <w:gridCol w:w="7311"/>
      </w:tblGrid>
      <w:tr w:rsidR="00B25B45" w:rsidRPr="006F4A93" w:rsidTr="00095727">
        <w:trPr>
          <w:trHeight w:hRule="exact" w:val="350"/>
        </w:trPr>
        <w:tc>
          <w:tcPr>
            <w:tcW w:w="2550" w:type="dxa"/>
            <w:tcBorders>
              <w:top w:val="single" w:sz="4" w:space="0" w:color="000000"/>
              <w:left w:val="single" w:sz="4" w:space="0" w:color="000000"/>
              <w:bottom w:val="single" w:sz="4" w:space="0" w:color="000000"/>
              <w:right w:val="nil"/>
            </w:tcBorders>
          </w:tcPr>
          <w:p w:rsidR="00B25B45" w:rsidRPr="006F4A93" w:rsidRDefault="00B25B45" w:rsidP="00D723FB">
            <w:pPr>
              <w:pStyle w:val="TableParagraph"/>
              <w:tabs>
                <w:tab w:val="left" w:pos="1513"/>
              </w:tabs>
              <w:spacing w:before="3"/>
              <w:ind w:left="96"/>
              <w:rPr>
                <w:rFonts w:ascii="Verdana" w:eastAsia="Verdana" w:hAnsi="Verdana" w:cs="Verdana"/>
                <w:sz w:val="24"/>
                <w:szCs w:val="24"/>
              </w:rPr>
            </w:pPr>
            <w:r w:rsidRPr="006F4A93">
              <w:rPr>
                <w:rFonts w:ascii="Verdana" w:hAnsi="Verdana"/>
                <w:b/>
                <w:spacing w:val="-1"/>
                <w:sz w:val="24"/>
                <w:szCs w:val="24"/>
              </w:rPr>
              <w:t>Executive</w:t>
            </w:r>
            <w:r w:rsidRPr="006F4A93">
              <w:rPr>
                <w:rFonts w:ascii="Verdana" w:hAnsi="Verdana"/>
                <w:b/>
                <w:spacing w:val="-1"/>
                <w:sz w:val="24"/>
                <w:szCs w:val="24"/>
              </w:rPr>
              <w:tab/>
              <w:t>Lead:</w:t>
            </w:r>
          </w:p>
          <w:p w:rsidR="00B25B45" w:rsidRPr="006F4A93" w:rsidRDefault="00B25B45" w:rsidP="00D723FB">
            <w:pPr>
              <w:pStyle w:val="TableParagraph"/>
              <w:spacing w:before="6"/>
              <w:ind w:left="96"/>
              <w:rPr>
                <w:rFonts w:ascii="Verdana" w:eastAsia="Verdana" w:hAnsi="Verdana" w:cs="Verdana"/>
                <w:sz w:val="24"/>
                <w:szCs w:val="24"/>
              </w:rPr>
            </w:pPr>
          </w:p>
        </w:tc>
        <w:tc>
          <w:tcPr>
            <w:tcW w:w="24" w:type="dxa"/>
            <w:tcBorders>
              <w:top w:val="single" w:sz="4" w:space="0" w:color="000000"/>
              <w:left w:val="nil"/>
              <w:bottom w:val="single" w:sz="4" w:space="0" w:color="000000"/>
              <w:right w:val="nil"/>
            </w:tcBorders>
          </w:tcPr>
          <w:p w:rsidR="00B25B45" w:rsidRPr="006F4A93" w:rsidRDefault="00B25B45" w:rsidP="00D723FB">
            <w:pPr>
              <w:pStyle w:val="TableParagraph"/>
              <w:spacing w:before="3"/>
              <w:ind w:left="34"/>
              <w:rPr>
                <w:rFonts w:ascii="Verdana" w:eastAsia="Verdana" w:hAnsi="Verdana" w:cs="Verdana"/>
                <w:sz w:val="24"/>
                <w:szCs w:val="24"/>
              </w:rPr>
            </w:pPr>
          </w:p>
        </w:tc>
        <w:tc>
          <w:tcPr>
            <w:tcW w:w="7310" w:type="dxa"/>
            <w:tcBorders>
              <w:top w:val="single" w:sz="4" w:space="0" w:color="000000"/>
              <w:left w:val="nil"/>
              <w:bottom w:val="single" w:sz="4" w:space="0" w:color="000000"/>
              <w:right w:val="single" w:sz="4" w:space="0" w:color="000000"/>
            </w:tcBorders>
          </w:tcPr>
          <w:p w:rsidR="00B25B45" w:rsidRPr="006F4A93" w:rsidRDefault="00B25B45" w:rsidP="00095727">
            <w:pPr>
              <w:pStyle w:val="TableParagraph"/>
              <w:spacing w:before="3"/>
              <w:rPr>
                <w:rFonts w:ascii="Verdana" w:eastAsia="Verdana" w:hAnsi="Verdana" w:cs="Verdana"/>
                <w:sz w:val="24"/>
                <w:szCs w:val="24"/>
              </w:rPr>
            </w:pPr>
            <w:r>
              <w:rPr>
                <w:rFonts w:ascii="Verdana" w:eastAsia="Verdana" w:hAnsi="Verdana" w:cs="Verdana"/>
                <w:sz w:val="24"/>
                <w:szCs w:val="24"/>
              </w:rPr>
              <w:t>Stephen Harrhy – Chief Ambulance Services Commissioner</w:t>
            </w:r>
          </w:p>
        </w:tc>
      </w:tr>
      <w:tr w:rsidR="00C3165F" w:rsidRPr="006F4A93" w:rsidTr="00095727">
        <w:trPr>
          <w:trHeight w:hRule="exact" w:val="426"/>
        </w:trPr>
        <w:tc>
          <w:tcPr>
            <w:tcW w:w="9885" w:type="dxa"/>
            <w:gridSpan w:val="3"/>
            <w:tcBorders>
              <w:top w:val="single" w:sz="4" w:space="0" w:color="000000"/>
              <w:left w:val="single" w:sz="4" w:space="0" w:color="000000"/>
              <w:bottom w:val="single" w:sz="4" w:space="0" w:color="000000"/>
              <w:right w:val="single" w:sz="4" w:space="0" w:color="000000"/>
            </w:tcBorders>
          </w:tcPr>
          <w:p w:rsidR="00C3165F" w:rsidRPr="006F4A93" w:rsidRDefault="00C3165F" w:rsidP="00B25B45">
            <w:pPr>
              <w:pStyle w:val="TableParagraph"/>
              <w:spacing w:before="3"/>
              <w:ind w:left="96"/>
              <w:rPr>
                <w:rFonts w:ascii="Verdana" w:eastAsia="Verdana" w:hAnsi="Verdana" w:cs="Verdana"/>
                <w:sz w:val="24"/>
                <w:szCs w:val="24"/>
              </w:rPr>
            </w:pPr>
            <w:r w:rsidRPr="006F4A93">
              <w:rPr>
                <w:rFonts w:ascii="Verdana" w:hAnsi="Verdana"/>
                <w:b/>
                <w:sz w:val="24"/>
                <w:szCs w:val="24"/>
              </w:rPr>
              <w:t xml:space="preserve">Author: </w:t>
            </w:r>
            <w:r w:rsidR="00B25B45">
              <w:rPr>
                <w:rFonts w:ascii="Verdana" w:hAnsi="Verdana"/>
                <w:sz w:val="24"/>
                <w:szCs w:val="24"/>
              </w:rPr>
              <w:t xml:space="preserve">Ross Whitehead – Assistant </w:t>
            </w:r>
            <w:r w:rsidR="003F2E33">
              <w:rPr>
                <w:rFonts w:ascii="Verdana" w:hAnsi="Verdana"/>
                <w:sz w:val="24"/>
                <w:szCs w:val="24"/>
              </w:rPr>
              <w:t xml:space="preserve"> </w:t>
            </w:r>
            <w:r w:rsidR="00ED72B1">
              <w:rPr>
                <w:rFonts w:ascii="Verdana" w:hAnsi="Verdana"/>
                <w:sz w:val="24"/>
                <w:szCs w:val="24"/>
              </w:rPr>
              <w:t>Ambulance Services Commissioner</w:t>
            </w:r>
          </w:p>
        </w:tc>
      </w:tr>
      <w:tr w:rsidR="00C3165F" w:rsidRPr="006F4A93" w:rsidTr="00095727">
        <w:trPr>
          <w:trHeight w:hRule="exact" w:val="417"/>
        </w:trPr>
        <w:tc>
          <w:tcPr>
            <w:tcW w:w="9885" w:type="dxa"/>
            <w:gridSpan w:val="3"/>
            <w:tcBorders>
              <w:top w:val="single" w:sz="4" w:space="0" w:color="000000"/>
              <w:left w:val="single" w:sz="4" w:space="0" w:color="000000"/>
              <w:bottom w:val="single" w:sz="4" w:space="0" w:color="000000"/>
              <w:right w:val="single" w:sz="4" w:space="0" w:color="000000"/>
            </w:tcBorders>
          </w:tcPr>
          <w:p w:rsidR="00C3165F" w:rsidRPr="006F4A93" w:rsidRDefault="00C3165F" w:rsidP="00B25B45">
            <w:pPr>
              <w:pStyle w:val="TableParagraph"/>
              <w:spacing w:before="3"/>
              <w:ind w:left="96"/>
              <w:rPr>
                <w:rFonts w:ascii="Verdana" w:eastAsia="Verdana" w:hAnsi="Verdana" w:cs="Verdana"/>
                <w:sz w:val="24"/>
                <w:szCs w:val="24"/>
              </w:rPr>
            </w:pPr>
            <w:r w:rsidRPr="006F4A93">
              <w:rPr>
                <w:rFonts w:ascii="Verdana" w:hAnsi="Verdana"/>
                <w:b/>
                <w:sz w:val="24"/>
                <w:szCs w:val="24"/>
              </w:rPr>
              <w:t xml:space="preserve">Contact Details for further information: </w:t>
            </w:r>
            <w:r w:rsidRPr="006F4A93">
              <w:rPr>
                <w:rFonts w:ascii="Verdana" w:hAnsi="Verdana"/>
                <w:b/>
                <w:spacing w:val="45"/>
                <w:sz w:val="24"/>
                <w:szCs w:val="24"/>
              </w:rPr>
              <w:t xml:space="preserve"> </w:t>
            </w:r>
            <w:hyperlink r:id="rId9" w:history="1">
              <w:r w:rsidR="00B25B45" w:rsidRPr="0067024C">
                <w:rPr>
                  <w:rStyle w:val="Hyperlink"/>
                  <w:rFonts w:ascii="Verdana" w:hAnsi="Verdana"/>
                  <w:sz w:val="24"/>
                  <w:szCs w:val="24"/>
                  <w:u w:color="0000FF"/>
                </w:rPr>
                <w:t>ross.whitehead@wales.nhs.uk</w:t>
              </w:r>
            </w:hyperlink>
          </w:p>
        </w:tc>
      </w:tr>
    </w:tbl>
    <w:p w:rsidR="00C3165F" w:rsidRPr="006F4A93" w:rsidRDefault="00C3165F"/>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4"/>
      </w:tblGrid>
      <w:tr w:rsidR="00C3165F" w:rsidRPr="006F4A93" w:rsidTr="00B25B45">
        <w:trPr>
          <w:trHeight w:val="289"/>
        </w:trPr>
        <w:tc>
          <w:tcPr>
            <w:tcW w:w="9904" w:type="dxa"/>
            <w:tcBorders>
              <w:top w:val="single" w:sz="4" w:space="0" w:color="auto"/>
              <w:left w:val="single" w:sz="4" w:space="0" w:color="auto"/>
              <w:bottom w:val="single" w:sz="4" w:space="0" w:color="auto"/>
              <w:right w:val="single" w:sz="4" w:space="0" w:color="auto"/>
            </w:tcBorders>
            <w:shd w:val="clear" w:color="auto" w:fill="E6E6E6"/>
          </w:tcPr>
          <w:p w:rsidR="00C3165F" w:rsidRPr="006F4A93" w:rsidRDefault="00C3165F" w:rsidP="00D723FB">
            <w:pPr>
              <w:rPr>
                <w:rFonts w:ascii="Verdana" w:hAnsi="Verdana" w:cs="Arial"/>
                <w:b/>
                <w:sz w:val="24"/>
              </w:rPr>
            </w:pPr>
            <w:r w:rsidRPr="006F4A93">
              <w:rPr>
                <w:rFonts w:ascii="Verdana" w:hAnsi="Verdana" w:cs="Arial"/>
                <w:b/>
                <w:sz w:val="24"/>
              </w:rPr>
              <w:t>Purpose of the Emergency Ambulance Services Committee Report</w:t>
            </w:r>
          </w:p>
        </w:tc>
      </w:tr>
      <w:tr w:rsidR="00C3165F" w:rsidRPr="006F4A93" w:rsidTr="00095727">
        <w:trPr>
          <w:trHeight w:val="625"/>
        </w:trPr>
        <w:tc>
          <w:tcPr>
            <w:tcW w:w="9904" w:type="dxa"/>
            <w:tcBorders>
              <w:top w:val="single" w:sz="4" w:space="0" w:color="auto"/>
              <w:left w:val="single" w:sz="4" w:space="0" w:color="auto"/>
              <w:bottom w:val="single" w:sz="4" w:space="0" w:color="auto"/>
              <w:right w:val="single" w:sz="4" w:space="0" w:color="auto"/>
            </w:tcBorders>
            <w:shd w:val="clear" w:color="auto" w:fill="auto"/>
          </w:tcPr>
          <w:p w:rsidR="00C3165F" w:rsidRPr="006F4A93" w:rsidRDefault="00B25B45" w:rsidP="00095727">
            <w:pPr>
              <w:spacing w:before="7" w:line="244" w:lineRule="auto"/>
              <w:ind w:right="101"/>
              <w:jc w:val="both"/>
              <w:rPr>
                <w:rFonts w:ascii="Verdana" w:eastAsia="Verdana" w:hAnsi="Verdana" w:cs="Verdana"/>
                <w:sz w:val="24"/>
              </w:rPr>
            </w:pPr>
            <w:r w:rsidRPr="00B25B45">
              <w:rPr>
                <w:rFonts w:ascii="Verdana" w:eastAsia="Verdana" w:hAnsi="Verdana" w:cs="Verdana"/>
                <w:sz w:val="24"/>
              </w:rPr>
              <w:t xml:space="preserve">The purpose of the report is to </w:t>
            </w:r>
            <w:r w:rsidR="00095727">
              <w:rPr>
                <w:rFonts w:ascii="Verdana" w:eastAsia="Verdana" w:hAnsi="Verdana" w:cs="Verdana"/>
                <w:sz w:val="24"/>
              </w:rPr>
              <w:t>provide the C</w:t>
            </w:r>
            <w:r w:rsidRPr="00B25B45">
              <w:rPr>
                <w:rFonts w:ascii="Verdana" w:eastAsia="Verdana" w:hAnsi="Verdana" w:cs="Verdana"/>
                <w:sz w:val="24"/>
              </w:rPr>
              <w:t xml:space="preserve">ommittee with the most recent Ambulance Quality Indicators published on Wednesday </w:t>
            </w:r>
            <w:r w:rsidR="00095727">
              <w:rPr>
                <w:rFonts w:ascii="Verdana" w:eastAsia="Verdana" w:hAnsi="Verdana" w:cs="Verdana"/>
                <w:sz w:val="24"/>
              </w:rPr>
              <w:t>30 October</w:t>
            </w:r>
            <w:r w:rsidRPr="00B25B45">
              <w:rPr>
                <w:rFonts w:ascii="Verdana" w:eastAsia="Verdana" w:hAnsi="Verdana" w:cs="Verdana"/>
                <w:sz w:val="24"/>
              </w:rPr>
              <w:t xml:space="preserve"> 2019</w:t>
            </w:r>
          </w:p>
        </w:tc>
      </w:tr>
    </w:tbl>
    <w:p w:rsidR="00C3165F" w:rsidRPr="00095727" w:rsidRDefault="00C3165F">
      <w:pPr>
        <w:rPr>
          <w:sz w:val="6"/>
        </w:rPr>
      </w:pPr>
    </w:p>
    <w:tbl>
      <w:tblPr>
        <w:tblpPr w:leftFromText="180" w:rightFromText="180" w:vertAnchor="text" w:horzAnchor="margin" w:tblpY="160"/>
        <w:tblW w:w="9946" w:type="dxa"/>
        <w:tblLayout w:type="fixed"/>
        <w:tblCellMar>
          <w:left w:w="0" w:type="dxa"/>
          <w:right w:w="0" w:type="dxa"/>
        </w:tblCellMar>
        <w:tblLook w:val="01E0" w:firstRow="1" w:lastRow="1" w:firstColumn="1" w:lastColumn="1" w:noHBand="0" w:noVBand="0"/>
      </w:tblPr>
      <w:tblGrid>
        <w:gridCol w:w="2542"/>
        <w:gridCol w:w="7404"/>
      </w:tblGrid>
      <w:tr w:rsidR="00C3165F" w:rsidRPr="006F4A93" w:rsidTr="00B25B45">
        <w:trPr>
          <w:trHeight w:hRule="exact" w:val="409"/>
        </w:trPr>
        <w:tc>
          <w:tcPr>
            <w:tcW w:w="9946"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Governance</w:t>
            </w:r>
          </w:p>
        </w:tc>
      </w:tr>
      <w:tr w:rsidR="00C3165F" w:rsidRPr="006F4A93" w:rsidTr="00B25B45">
        <w:trPr>
          <w:trHeight w:hRule="exact" w:val="3184"/>
        </w:trPr>
        <w:tc>
          <w:tcPr>
            <w:tcW w:w="2542" w:type="dxa"/>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3F2E33">
            <w:pPr>
              <w:pStyle w:val="TableParagraph"/>
              <w:tabs>
                <w:tab w:val="left" w:pos="137"/>
              </w:tabs>
              <w:spacing w:before="3" w:line="244" w:lineRule="auto"/>
              <w:ind w:left="96" w:right="91"/>
              <w:rPr>
                <w:rFonts w:ascii="Verdana" w:eastAsia="Verdana" w:hAnsi="Verdana" w:cs="Verdana"/>
                <w:sz w:val="24"/>
                <w:szCs w:val="24"/>
              </w:rPr>
            </w:pPr>
            <w:r w:rsidRPr="006F4A93">
              <w:rPr>
                <w:rFonts w:ascii="Verdana" w:hAnsi="Verdana"/>
                <w:b/>
                <w:spacing w:val="-1"/>
                <w:sz w:val="24"/>
                <w:szCs w:val="24"/>
              </w:rPr>
              <w:t>Link</w:t>
            </w:r>
            <w:r w:rsidRPr="006F4A93">
              <w:rPr>
                <w:rFonts w:ascii="Verdana" w:hAnsi="Verdana"/>
                <w:b/>
                <w:spacing w:val="-1"/>
                <w:sz w:val="24"/>
                <w:szCs w:val="24"/>
              </w:rPr>
              <w:tab/>
            </w:r>
            <w:r w:rsidRPr="006F4A93">
              <w:rPr>
                <w:rFonts w:ascii="Verdana" w:hAnsi="Verdana"/>
                <w:b/>
                <w:sz w:val="24"/>
                <w:szCs w:val="24"/>
              </w:rPr>
              <w:t>to</w:t>
            </w:r>
            <w:r w:rsidR="003F2E33">
              <w:rPr>
                <w:rFonts w:ascii="Verdana" w:hAnsi="Verdana"/>
                <w:b/>
                <w:sz w:val="24"/>
                <w:szCs w:val="24"/>
              </w:rPr>
              <w:t xml:space="preserve"> </w:t>
            </w:r>
            <w:r w:rsidRPr="006F4A93">
              <w:rPr>
                <w:rFonts w:ascii="Verdana" w:hAnsi="Verdana"/>
                <w:b/>
                <w:spacing w:val="-1"/>
                <w:sz w:val="24"/>
                <w:szCs w:val="24"/>
              </w:rPr>
              <w:t>the</w:t>
            </w:r>
            <w:r w:rsidRPr="006F4A93">
              <w:rPr>
                <w:rFonts w:ascii="Verdana" w:hAnsi="Verdana"/>
                <w:b/>
                <w:spacing w:val="-67"/>
                <w:sz w:val="24"/>
                <w:szCs w:val="24"/>
              </w:rPr>
              <w:t xml:space="preserve"> </w:t>
            </w:r>
            <w:r w:rsidRPr="006F4A93">
              <w:rPr>
                <w:rFonts w:ascii="Verdana" w:hAnsi="Verdana"/>
                <w:b/>
                <w:sz w:val="24"/>
                <w:szCs w:val="24"/>
              </w:rPr>
              <w:t>Commissioning</w:t>
            </w:r>
            <w:r w:rsidRPr="006F4A93">
              <w:rPr>
                <w:rFonts w:ascii="Verdana" w:hAnsi="Verdana"/>
                <w:b/>
                <w:spacing w:val="-48"/>
                <w:sz w:val="24"/>
                <w:szCs w:val="24"/>
              </w:rPr>
              <w:t xml:space="preserve"> </w:t>
            </w:r>
            <w:r w:rsidRPr="006F4A93">
              <w:rPr>
                <w:rFonts w:ascii="Verdana" w:hAnsi="Verdana"/>
                <w:b/>
                <w:sz w:val="24"/>
                <w:szCs w:val="24"/>
              </w:rPr>
              <w:t>Agreement</w:t>
            </w:r>
          </w:p>
        </w:tc>
        <w:tc>
          <w:tcPr>
            <w:tcW w:w="7403" w:type="dxa"/>
            <w:tcBorders>
              <w:top w:val="single" w:sz="4" w:space="0" w:color="000000"/>
              <w:left w:val="single" w:sz="4" w:space="0" w:color="000000"/>
              <w:bottom w:val="single" w:sz="4" w:space="0" w:color="000000"/>
              <w:right w:val="single" w:sz="4" w:space="0" w:color="000000"/>
            </w:tcBorders>
          </w:tcPr>
          <w:p w:rsidR="00B25B45" w:rsidRPr="00B25B45" w:rsidRDefault="00B25B45" w:rsidP="00B25B45">
            <w:pPr>
              <w:pStyle w:val="TableParagraph"/>
              <w:spacing w:before="3" w:line="244" w:lineRule="auto"/>
              <w:ind w:left="96" w:right="93"/>
              <w:jc w:val="both"/>
              <w:rPr>
                <w:rFonts w:ascii="Verdana" w:eastAsia="Verdana" w:hAnsi="Verdana" w:cs="Verdana"/>
                <w:sz w:val="24"/>
                <w:szCs w:val="24"/>
              </w:rPr>
            </w:pPr>
            <w:r w:rsidRPr="00B25B45">
              <w:rPr>
                <w:rFonts w:ascii="Verdana" w:eastAsia="Verdana" w:hAnsi="Verdana" w:cs="Verdana"/>
                <w:sz w:val="24"/>
                <w:szCs w:val="24"/>
              </w:rPr>
              <w:t xml:space="preserve">The Committee’s overarching role is to ensure its Commissioning Strategy  for Emergency Ambulance Services </w:t>
            </w:r>
            <w:proofErr w:type="spellStart"/>
            <w:r w:rsidRPr="00B25B45">
              <w:rPr>
                <w:rFonts w:ascii="Verdana" w:eastAsia="Verdana" w:hAnsi="Verdana" w:cs="Verdana"/>
                <w:sz w:val="24"/>
                <w:szCs w:val="24"/>
              </w:rPr>
              <w:t>utilising</w:t>
            </w:r>
            <w:proofErr w:type="spellEnd"/>
            <w:r w:rsidRPr="00B25B45">
              <w:rPr>
                <w:rFonts w:ascii="Verdana" w:eastAsia="Verdana" w:hAnsi="Verdana" w:cs="Verdana"/>
                <w:sz w:val="24"/>
                <w:szCs w:val="24"/>
              </w:rPr>
              <w:t xml:space="preserve"> the five step patient pathway outlined within the National Collaborative Commissioning Quality and Delivery Agreement and the related outcomes for each care standard aligned with the Institute of Healthcare Improvement's (IHI) ‘Quadruple Aim’ are being progressed.  </w:t>
            </w:r>
          </w:p>
          <w:p w:rsidR="00B25B45" w:rsidRPr="00B25B45" w:rsidRDefault="00B25B45" w:rsidP="00B25B45">
            <w:pPr>
              <w:pStyle w:val="TableParagraph"/>
              <w:spacing w:before="3" w:line="244" w:lineRule="auto"/>
              <w:ind w:left="96" w:right="93"/>
              <w:jc w:val="both"/>
              <w:rPr>
                <w:rFonts w:ascii="Verdana" w:eastAsia="Verdana" w:hAnsi="Verdana" w:cs="Verdana"/>
                <w:sz w:val="24"/>
                <w:szCs w:val="24"/>
              </w:rPr>
            </w:pPr>
            <w:r w:rsidRPr="00B25B45">
              <w:rPr>
                <w:rFonts w:ascii="Verdana" w:eastAsia="Verdana" w:hAnsi="Verdana" w:cs="Verdana"/>
                <w:sz w:val="24"/>
                <w:szCs w:val="24"/>
              </w:rPr>
              <w:t xml:space="preserve"> </w:t>
            </w:r>
          </w:p>
          <w:p w:rsidR="00C3165F" w:rsidRPr="006F4A93" w:rsidRDefault="00B25B45" w:rsidP="00B25B45">
            <w:pPr>
              <w:pStyle w:val="TableParagraph"/>
              <w:spacing w:before="3" w:line="244" w:lineRule="auto"/>
              <w:ind w:left="96" w:right="93"/>
              <w:jc w:val="both"/>
              <w:rPr>
                <w:rFonts w:ascii="Verdana" w:eastAsia="Verdana" w:hAnsi="Verdana" w:cs="Verdana"/>
                <w:sz w:val="24"/>
                <w:szCs w:val="24"/>
              </w:rPr>
            </w:pPr>
            <w:r w:rsidRPr="00B25B45">
              <w:rPr>
                <w:rFonts w:ascii="Verdana" w:eastAsia="Verdana" w:hAnsi="Verdana" w:cs="Verdana"/>
                <w:sz w:val="24"/>
                <w:szCs w:val="24"/>
              </w:rPr>
              <w:t>This report focuses on all the above objectives, but specifically on providing strong governance and assurance.</w:t>
            </w:r>
          </w:p>
        </w:tc>
      </w:tr>
      <w:tr w:rsidR="00C3165F" w:rsidRPr="006F4A93" w:rsidTr="00B25B45">
        <w:trPr>
          <w:trHeight w:hRule="exact" w:val="703"/>
        </w:trPr>
        <w:tc>
          <w:tcPr>
            <w:tcW w:w="2542" w:type="dxa"/>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3F2E33">
            <w:pPr>
              <w:pStyle w:val="TableParagraph"/>
              <w:spacing w:before="5" w:line="242" w:lineRule="auto"/>
              <w:ind w:left="96" w:right="380"/>
              <w:rPr>
                <w:rFonts w:ascii="Verdana" w:eastAsia="Verdana" w:hAnsi="Verdana" w:cs="Verdana"/>
                <w:sz w:val="24"/>
                <w:szCs w:val="24"/>
              </w:rPr>
            </w:pPr>
            <w:r w:rsidRPr="006F4A93">
              <w:rPr>
                <w:rFonts w:ascii="Verdana" w:hAnsi="Verdana"/>
                <w:b/>
                <w:sz w:val="24"/>
                <w:szCs w:val="24"/>
              </w:rPr>
              <w:t>Supportin</w:t>
            </w:r>
            <w:r w:rsidR="003F2E33">
              <w:rPr>
                <w:rFonts w:ascii="Verdana" w:hAnsi="Verdana"/>
                <w:b/>
                <w:sz w:val="24"/>
                <w:szCs w:val="24"/>
              </w:rPr>
              <w:t>g</w:t>
            </w:r>
            <w:r w:rsidRPr="006F4A93">
              <w:rPr>
                <w:rFonts w:ascii="Verdana" w:hAnsi="Verdana"/>
                <w:b/>
                <w:spacing w:val="-53"/>
                <w:sz w:val="24"/>
                <w:szCs w:val="24"/>
              </w:rPr>
              <w:t xml:space="preserve"> </w:t>
            </w:r>
            <w:r w:rsidRPr="006F4A93">
              <w:rPr>
                <w:rFonts w:ascii="Verdana" w:hAnsi="Verdana"/>
                <w:b/>
                <w:sz w:val="24"/>
                <w:szCs w:val="24"/>
              </w:rPr>
              <w:t>evidence</w:t>
            </w:r>
          </w:p>
        </w:tc>
        <w:tc>
          <w:tcPr>
            <w:tcW w:w="7403" w:type="dxa"/>
            <w:tcBorders>
              <w:top w:val="single" w:sz="4" w:space="0" w:color="000000"/>
              <w:left w:val="single" w:sz="4" w:space="0" w:color="000000"/>
              <w:bottom w:val="single" w:sz="4" w:space="0" w:color="000000"/>
              <w:right w:val="single" w:sz="4" w:space="0" w:color="000000"/>
            </w:tcBorders>
          </w:tcPr>
          <w:p w:rsidR="00C3165F" w:rsidRPr="006F4A93" w:rsidRDefault="00C3165F" w:rsidP="00D723FB">
            <w:pPr>
              <w:pStyle w:val="TableParagraph"/>
              <w:spacing w:before="5" w:line="242" w:lineRule="auto"/>
              <w:ind w:left="96" w:right="221"/>
              <w:rPr>
                <w:rFonts w:ascii="Verdana" w:hAnsi="Verdana"/>
                <w:sz w:val="24"/>
                <w:szCs w:val="24"/>
              </w:rPr>
            </w:pPr>
            <w:r w:rsidRPr="006F4A93">
              <w:rPr>
                <w:rFonts w:ascii="Verdana" w:hAnsi="Verdana"/>
                <w:sz w:val="24"/>
                <w:szCs w:val="24"/>
              </w:rPr>
              <w:t>The</w:t>
            </w:r>
            <w:r w:rsidRPr="006F4A93">
              <w:rPr>
                <w:rFonts w:ascii="Verdana" w:hAnsi="Verdana"/>
                <w:spacing w:val="18"/>
                <w:sz w:val="24"/>
                <w:szCs w:val="24"/>
              </w:rPr>
              <w:t xml:space="preserve"> </w:t>
            </w:r>
            <w:r w:rsidRPr="006F4A93">
              <w:rPr>
                <w:rFonts w:ascii="Verdana" w:hAnsi="Verdana"/>
                <w:sz w:val="24"/>
                <w:szCs w:val="24"/>
              </w:rPr>
              <w:t>Collaborative</w:t>
            </w:r>
            <w:r w:rsidRPr="006F4A93">
              <w:rPr>
                <w:rFonts w:ascii="Verdana" w:hAnsi="Verdana"/>
                <w:spacing w:val="17"/>
                <w:sz w:val="24"/>
                <w:szCs w:val="24"/>
              </w:rPr>
              <w:t xml:space="preserve"> </w:t>
            </w:r>
            <w:r w:rsidRPr="006F4A93">
              <w:rPr>
                <w:rFonts w:ascii="Verdana" w:hAnsi="Verdana"/>
                <w:sz w:val="24"/>
                <w:szCs w:val="24"/>
              </w:rPr>
              <w:t>Commissioning</w:t>
            </w:r>
            <w:r w:rsidRPr="006F4A93">
              <w:rPr>
                <w:rFonts w:ascii="Verdana" w:hAnsi="Verdana"/>
                <w:spacing w:val="18"/>
                <w:sz w:val="24"/>
                <w:szCs w:val="24"/>
              </w:rPr>
              <w:t xml:space="preserve"> </w:t>
            </w:r>
            <w:r w:rsidRPr="006F4A93">
              <w:rPr>
                <w:rFonts w:ascii="Verdana" w:hAnsi="Verdana"/>
                <w:sz w:val="24"/>
                <w:szCs w:val="24"/>
              </w:rPr>
              <w:t>Quality</w:t>
            </w:r>
            <w:r w:rsidRPr="006F4A93">
              <w:rPr>
                <w:rFonts w:ascii="Verdana" w:hAnsi="Verdana"/>
                <w:spacing w:val="16"/>
                <w:sz w:val="24"/>
                <w:szCs w:val="24"/>
              </w:rPr>
              <w:t xml:space="preserve"> </w:t>
            </w:r>
            <w:r w:rsidRPr="006F4A93">
              <w:rPr>
                <w:rFonts w:ascii="Verdana" w:hAnsi="Verdana"/>
                <w:sz w:val="24"/>
                <w:szCs w:val="24"/>
              </w:rPr>
              <w:t>and</w:t>
            </w:r>
            <w:r w:rsidRPr="006F4A93">
              <w:rPr>
                <w:rFonts w:ascii="Verdana" w:hAnsi="Verdana"/>
                <w:spacing w:val="16"/>
                <w:sz w:val="24"/>
                <w:szCs w:val="24"/>
              </w:rPr>
              <w:t xml:space="preserve"> </w:t>
            </w:r>
            <w:r w:rsidRPr="006F4A93">
              <w:rPr>
                <w:rFonts w:ascii="Verdana" w:hAnsi="Verdana"/>
                <w:sz w:val="24"/>
                <w:szCs w:val="24"/>
              </w:rPr>
              <w:t>Delivery</w:t>
            </w:r>
            <w:r w:rsidRPr="006F4A93">
              <w:rPr>
                <w:rFonts w:ascii="Verdana" w:hAnsi="Verdana"/>
                <w:spacing w:val="-72"/>
                <w:sz w:val="24"/>
                <w:szCs w:val="24"/>
              </w:rPr>
              <w:t xml:space="preserve"> </w:t>
            </w:r>
            <w:r w:rsidRPr="006F4A93">
              <w:rPr>
                <w:rFonts w:ascii="Verdana" w:hAnsi="Verdana"/>
                <w:sz w:val="24"/>
                <w:szCs w:val="24"/>
              </w:rPr>
              <w:t>Framework for Emergency Medical</w:t>
            </w:r>
            <w:r w:rsidRPr="006F4A93">
              <w:rPr>
                <w:rFonts w:ascii="Verdana" w:hAnsi="Verdana"/>
                <w:spacing w:val="72"/>
                <w:sz w:val="24"/>
                <w:szCs w:val="24"/>
              </w:rPr>
              <w:t xml:space="preserve"> </w:t>
            </w:r>
            <w:r w:rsidRPr="006F4A93">
              <w:rPr>
                <w:rFonts w:ascii="Verdana" w:hAnsi="Verdana"/>
                <w:sz w:val="24"/>
                <w:szCs w:val="24"/>
              </w:rPr>
              <w:t>Services</w:t>
            </w:r>
          </w:p>
          <w:p w:rsidR="00C3165F" w:rsidRPr="006F4A93" w:rsidRDefault="00C3165F" w:rsidP="00D723FB">
            <w:pPr>
              <w:pStyle w:val="TableParagraph"/>
              <w:spacing w:before="5" w:line="242" w:lineRule="auto"/>
              <w:ind w:left="96" w:right="221"/>
              <w:rPr>
                <w:rFonts w:ascii="Verdana" w:eastAsia="Verdana" w:hAnsi="Verdana" w:cs="Verdana"/>
                <w:sz w:val="24"/>
                <w:szCs w:val="24"/>
              </w:rPr>
            </w:pPr>
          </w:p>
        </w:tc>
      </w:tr>
      <w:tr w:rsidR="00C3165F" w:rsidRPr="006F4A93" w:rsidTr="00B25B45">
        <w:trPr>
          <w:trHeight w:hRule="exact" w:val="409"/>
        </w:trPr>
        <w:tc>
          <w:tcPr>
            <w:tcW w:w="9946"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eastAsia="Verdana" w:hAnsi="Verdana" w:cs="Verdana"/>
                <w:b/>
                <w:bCs/>
                <w:sz w:val="24"/>
                <w:szCs w:val="24"/>
              </w:rPr>
              <w:t xml:space="preserve">Engagement – Who has been involved in this </w:t>
            </w:r>
            <w:r w:rsidRPr="006F4A93">
              <w:rPr>
                <w:rFonts w:ascii="Verdana" w:eastAsia="Verdana" w:hAnsi="Verdana" w:cs="Verdana"/>
                <w:b/>
                <w:bCs/>
                <w:spacing w:val="26"/>
                <w:sz w:val="24"/>
                <w:szCs w:val="24"/>
              </w:rPr>
              <w:t>work</w:t>
            </w:r>
            <w:r w:rsidRPr="006F4A93">
              <w:rPr>
                <w:rFonts w:ascii="Verdana" w:eastAsia="Verdana" w:hAnsi="Verdana" w:cs="Verdana"/>
                <w:b/>
                <w:bCs/>
                <w:sz w:val="24"/>
                <w:szCs w:val="24"/>
              </w:rPr>
              <w:t>?</w:t>
            </w:r>
          </w:p>
        </w:tc>
      </w:tr>
      <w:tr w:rsidR="00C3165F" w:rsidRPr="006F4A93" w:rsidTr="00B25B45">
        <w:trPr>
          <w:trHeight w:hRule="exact" w:val="1021"/>
        </w:trPr>
        <w:tc>
          <w:tcPr>
            <w:tcW w:w="9946" w:type="dxa"/>
            <w:gridSpan w:val="2"/>
            <w:tcBorders>
              <w:top w:val="single" w:sz="4" w:space="0" w:color="000000"/>
              <w:left w:val="single" w:sz="4" w:space="0" w:color="000000"/>
              <w:bottom w:val="single" w:sz="4" w:space="0" w:color="000000"/>
              <w:right w:val="single" w:sz="4" w:space="0" w:color="000000"/>
            </w:tcBorders>
          </w:tcPr>
          <w:p w:rsidR="00C3165F" w:rsidRPr="00B25B45" w:rsidRDefault="00C3165F" w:rsidP="00B25B45">
            <w:pPr>
              <w:rPr>
                <w:rFonts w:ascii="Verdana" w:hAnsi="Verdana"/>
                <w:sz w:val="24"/>
              </w:rPr>
            </w:pPr>
            <w:r w:rsidRPr="006F4A93">
              <w:rPr>
                <w:rFonts w:ascii="Verdana" w:eastAsia="Verdana" w:hAnsi="Verdana" w:cs="Verdana"/>
                <w:sz w:val="24"/>
              </w:rPr>
              <w:t>WAST</w:t>
            </w:r>
            <w:r w:rsidR="00B25B45">
              <w:rPr>
                <w:rFonts w:ascii="Verdana" w:eastAsia="Verdana" w:hAnsi="Verdana" w:cs="Verdana"/>
                <w:sz w:val="24"/>
              </w:rPr>
              <w:t>; EASC; Health Boards</w:t>
            </w:r>
          </w:p>
        </w:tc>
      </w:tr>
    </w:tbl>
    <w:p w:rsidR="00C3165F" w:rsidRDefault="00C3165F"/>
    <w:tbl>
      <w:tblPr>
        <w:tblW w:w="9913" w:type="dxa"/>
        <w:tblInd w:w="5" w:type="dxa"/>
        <w:tblLayout w:type="fixed"/>
        <w:tblCellMar>
          <w:left w:w="0" w:type="dxa"/>
          <w:right w:w="0" w:type="dxa"/>
        </w:tblCellMar>
        <w:tblLook w:val="01E0" w:firstRow="1" w:lastRow="1" w:firstColumn="1" w:lastColumn="1" w:noHBand="0" w:noVBand="0"/>
      </w:tblPr>
      <w:tblGrid>
        <w:gridCol w:w="2452"/>
        <w:gridCol w:w="681"/>
        <w:gridCol w:w="1535"/>
        <w:gridCol w:w="193"/>
        <w:gridCol w:w="1641"/>
        <w:gridCol w:w="434"/>
        <w:gridCol w:w="2977"/>
      </w:tblGrid>
      <w:tr w:rsidR="00C3165F" w:rsidRPr="006F4A93" w:rsidTr="00095727">
        <w:trPr>
          <w:trHeight w:hRule="exact" w:val="406"/>
        </w:trPr>
        <w:tc>
          <w:tcPr>
            <w:tcW w:w="9913" w:type="dxa"/>
            <w:gridSpan w:val="7"/>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 xml:space="preserve">Emergency Ambulance Services Committee Resolution </w:t>
            </w:r>
            <w:r w:rsidRPr="006F4A93">
              <w:rPr>
                <w:rFonts w:ascii="Verdana" w:hAnsi="Verdana"/>
                <w:b/>
                <w:spacing w:val="42"/>
                <w:sz w:val="24"/>
                <w:szCs w:val="24"/>
              </w:rPr>
              <w:t xml:space="preserve"> </w:t>
            </w:r>
            <w:r w:rsidRPr="006F4A93">
              <w:rPr>
                <w:rFonts w:ascii="Verdana" w:hAnsi="Verdana"/>
                <w:b/>
                <w:sz w:val="24"/>
                <w:szCs w:val="24"/>
              </w:rPr>
              <w:t>to:</w:t>
            </w:r>
          </w:p>
        </w:tc>
      </w:tr>
      <w:tr w:rsidR="00C3165F" w:rsidRPr="006F4A93" w:rsidTr="00095727">
        <w:trPr>
          <w:trHeight w:hRule="exact" w:val="407"/>
        </w:trPr>
        <w:tc>
          <w:tcPr>
            <w:tcW w:w="2452" w:type="dxa"/>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APPROVE</w:t>
            </w:r>
          </w:p>
        </w:tc>
        <w:tc>
          <w:tcPr>
            <w:tcW w:w="681" w:type="dxa"/>
            <w:tcBorders>
              <w:top w:val="single" w:sz="4" w:space="0" w:color="000000"/>
              <w:left w:val="single" w:sz="4" w:space="0" w:color="000000"/>
              <w:bottom w:val="single" w:sz="4" w:space="0" w:color="000000"/>
              <w:right w:val="single" w:sz="4" w:space="0" w:color="000000"/>
            </w:tcBorders>
          </w:tcPr>
          <w:p w:rsidR="00C3165F" w:rsidRPr="006F4A93" w:rsidRDefault="00C3165F" w:rsidP="00D723FB">
            <w:pPr>
              <w:pStyle w:val="TableParagraph"/>
              <w:spacing w:before="3"/>
              <w:ind w:left="151"/>
              <w:rPr>
                <w:rFonts w:ascii="Verdana" w:eastAsia="Verdana" w:hAnsi="Verdana" w:cs="Verdana"/>
                <w:sz w:val="24"/>
                <w:szCs w:val="24"/>
              </w:rPr>
            </w:pPr>
          </w:p>
        </w:tc>
        <w:tc>
          <w:tcPr>
            <w:tcW w:w="1535" w:type="dxa"/>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63"/>
              <w:rPr>
                <w:rFonts w:ascii="Verdana" w:eastAsia="Verdana" w:hAnsi="Verdana" w:cs="Verdana"/>
                <w:sz w:val="24"/>
                <w:szCs w:val="24"/>
              </w:rPr>
            </w:pPr>
            <w:r w:rsidRPr="006F4A93">
              <w:rPr>
                <w:rFonts w:ascii="Verdana" w:hAnsi="Verdana"/>
                <w:b/>
                <w:sz w:val="24"/>
                <w:szCs w:val="24"/>
              </w:rPr>
              <w:t>ENDORSE</w:t>
            </w:r>
          </w:p>
        </w:tc>
        <w:tc>
          <w:tcPr>
            <w:tcW w:w="193" w:type="dxa"/>
            <w:tcBorders>
              <w:top w:val="single" w:sz="4" w:space="0" w:color="000000"/>
              <w:left w:val="single" w:sz="4" w:space="0" w:color="000000"/>
              <w:bottom w:val="single" w:sz="4" w:space="0" w:color="000000"/>
              <w:right w:val="single" w:sz="4" w:space="0" w:color="000000"/>
            </w:tcBorders>
          </w:tcPr>
          <w:p w:rsidR="00C3165F" w:rsidRPr="006F4A93" w:rsidRDefault="00B25B45" w:rsidP="00D723FB">
            <w:pPr>
              <w:rPr>
                <w:rFonts w:ascii="Verdana" w:hAnsi="Verdana"/>
                <w:sz w:val="24"/>
              </w:rPr>
            </w:pPr>
            <w:r>
              <w:rPr>
                <w:rFonts w:ascii="Verdana" w:hAnsi="Verdana"/>
                <w:sz w:val="24"/>
              </w:rPr>
              <w:t xml:space="preserve">   </w:t>
            </w:r>
          </w:p>
        </w:tc>
        <w:tc>
          <w:tcPr>
            <w:tcW w:w="1641" w:type="dxa"/>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DISCUSS</w:t>
            </w:r>
          </w:p>
        </w:tc>
        <w:tc>
          <w:tcPr>
            <w:tcW w:w="434" w:type="dxa"/>
            <w:tcBorders>
              <w:top w:val="single" w:sz="4" w:space="0" w:color="000000"/>
              <w:left w:val="single" w:sz="4" w:space="0" w:color="000000"/>
              <w:bottom w:val="single" w:sz="4" w:space="0" w:color="000000"/>
              <w:right w:val="single" w:sz="4" w:space="0" w:color="000000"/>
            </w:tcBorders>
          </w:tcPr>
          <w:p w:rsidR="00C3165F" w:rsidRPr="006F4A93" w:rsidRDefault="00B25B45" w:rsidP="00D723FB">
            <w:pPr>
              <w:rPr>
                <w:rFonts w:ascii="Verdana" w:hAnsi="Verdana"/>
                <w:sz w:val="24"/>
              </w:rPr>
            </w:pPr>
            <w:r>
              <w:rPr>
                <w:rFonts w:ascii="Verdana" w:hAnsi="Verdana"/>
                <w:sz w:val="24"/>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NOTE</w:t>
            </w:r>
            <w:r w:rsidR="00B25B45">
              <w:rPr>
                <w:rFonts w:ascii="Verdana" w:hAnsi="Verdana"/>
                <w:b/>
                <w:sz w:val="24"/>
                <w:szCs w:val="24"/>
              </w:rPr>
              <w:t xml:space="preserve">    </w:t>
            </w:r>
            <w:r w:rsidR="00B25B45" w:rsidRPr="006F4A93">
              <w:rPr>
                <w:rFonts w:ascii="Verdana" w:eastAsia="Verdana" w:hAnsi="Verdana" w:cs="Verdana"/>
                <w:b/>
                <w:bCs/>
                <w:w w:val="101"/>
                <w:sz w:val="24"/>
                <w:szCs w:val="24"/>
              </w:rPr>
              <w:t>√</w:t>
            </w:r>
          </w:p>
        </w:tc>
      </w:tr>
      <w:tr w:rsidR="00C3165F" w:rsidRPr="006F4A93" w:rsidTr="00095727">
        <w:trPr>
          <w:trHeight w:hRule="exact" w:val="1191"/>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B25B45" w:rsidRDefault="00B25B45" w:rsidP="00D723FB">
            <w:pPr>
              <w:rPr>
                <w:rFonts w:ascii="Verdana" w:hAnsi="Verdana"/>
                <w:b/>
                <w:sz w:val="24"/>
              </w:rPr>
            </w:pPr>
            <w:r w:rsidRPr="00B25B45">
              <w:rPr>
                <w:rFonts w:ascii="Verdana" w:hAnsi="Verdana"/>
                <w:b/>
                <w:sz w:val="24"/>
              </w:rPr>
              <w:t>Recommendation</w:t>
            </w:r>
          </w:p>
        </w:tc>
        <w:tc>
          <w:tcPr>
            <w:tcW w:w="6780" w:type="dxa"/>
            <w:gridSpan w:val="5"/>
            <w:tcBorders>
              <w:top w:val="single" w:sz="4" w:space="0" w:color="000000"/>
              <w:left w:val="single" w:sz="4" w:space="0" w:color="000000"/>
              <w:bottom w:val="single" w:sz="4" w:space="0" w:color="000000"/>
              <w:right w:val="single" w:sz="4" w:space="0" w:color="000000"/>
            </w:tcBorders>
          </w:tcPr>
          <w:p w:rsidR="00C3165F" w:rsidRPr="006F4A93" w:rsidRDefault="00C3165F" w:rsidP="00D723FB">
            <w:pPr>
              <w:pStyle w:val="TableParagraph"/>
              <w:spacing w:before="4" w:line="242" w:lineRule="auto"/>
              <w:ind w:left="63" w:right="122"/>
              <w:rPr>
                <w:rFonts w:ascii="Verdana" w:eastAsia="Verdana" w:hAnsi="Verdana" w:cs="Verdana"/>
                <w:sz w:val="24"/>
                <w:szCs w:val="24"/>
              </w:rPr>
            </w:pPr>
            <w:r w:rsidRPr="006F4A93">
              <w:rPr>
                <w:rFonts w:ascii="Verdana" w:hAnsi="Verdana"/>
                <w:sz w:val="24"/>
                <w:szCs w:val="24"/>
              </w:rPr>
              <w:t>The</w:t>
            </w:r>
            <w:r w:rsidRPr="006F4A93">
              <w:rPr>
                <w:rFonts w:ascii="Verdana" w:hAnsi="Verdana"/>
                <w:spacing w:val="17"/>
                <w:sz w:val="24"/>
                <w:szCs w:val="24"/>
              </w:rPr>
              <w:t xml:space="preserve"> </w:t>
            </w:r>
            <w:r w:rsidRPr="006F4A93">
              <w:rPr>
                <w:rFonts w:ascii="Verdana" w:hAnsi="Verdana"/>
                <w:sz w:val="24"/>
                <w:szCs w:val="24"/>
              </w:rPr>
              <w:t>Emergency</w:t>
            </w:r>
            <w:r w:rsidRPr="006F4A93">
              <w:rPr>
                <w:rFonts w:ascii="Verdana" w:hAnsi="Verdana"/>
                <w:spacing w:val="14"/>
                <w:sz w:val="24"/>
                <w:szCs w:val="24"/>
              </w:rPr>
              <w:t xml:space="preserve"> </w:t>
            </w:r>
            <w:r w:rsidRPr="006F4A93">
              <w:rPr>
                <w:rFonts w:ascii="Verdana" w:hAnsi="Verdana"/>
                <w:sz w:val="24"/>
                <w:szCs w:val="24"/>
              </w:rPr>
              <w:t>Ambulance</w:t>
            </w:r>
            <w:r w:rsidRPr="006F4A93">
              <w:rPr>
                <w:rFonts w:ascii="Verdana" w:hAnsi="Verdana"/>
                <w:spacing w:val="18"/>
                <w:sz w:val="24"/>
                <w:szCs w:val="24"/>
              </w:rPr>
              <w:t xml:space="preserve"> </w:t>
            </w:r>
            <w:r w:rsidRPr="006F4A93">
              <w:rPr>
                <w:rFonts w:ascii="Verdana" w:hAnsi="Verdana"/>
                <w:sz w:val="24"/>
                <w:szCs w:val="24"/>
              </w:rPr>
              <w:t>Services</w:t>
            </w:r>
            <w:r w:rsidRPr="006F4A93">
              <w:rPr>
                <w:rFonts w:ascii="Verdana" w:hAnsi="Verdana"/>
                <w:spacing w:val="16"/>
                <w:sz w:val="24"/>
                <w:szCs w:val="24"/>
              </w:rPr>
              <w:t xml:space="preserve"> </w:t>
            </w:r>
            <w:r w:rsidRPr="006F4A93">
              <w:rPr>
                <w:rFonts w:ascii="Verdana" w:hAnsi="Verdana"/>
                <w:sz w:val="24"/>
                <w:szCs w:val="24"/>
              </w:rPr>
              <w:t>Committee</w:t>
            </w:r>
            <w:r w:rsidRPr="006F4A93">
              <w:rPr>
                <w:rFonts w:ascii="Verdana" w:hAnsi="Verdana"/>
                <w:spacing w:val="17"/>
                <w:sz w:val="24"/>
                <w:szCs w:val="24"/>
              </w:rPr>
              <w:t xml:space="preserve"> </w:t>
            </w:r>
            <w:r w:rsidRPr="006F4A93">
              <w:rPr>
                <w:rFonts w:ascii="Verdana" w:hAnsi="Verdana"/>
                <w:sz w:val="24"/>
                <w:szCs w:val="24"/>
              </w:rPr>
              <w:t>is</w:t>
            </w:r>
            <w:r w:rsidRPr="006F4A93">
              <w:rPr>
                <w:rFonts w:ascii="Verdana" w:hAnsi="Verdana"/>
                <w:spacing w:val="-73"/>
                <w:sz w:val="24"/>
                <w:szCs w:val="24"/>
              </w:rPr>
              <w:t xml:space="preserve"> </w:t>
            </w:r>
            <w:r w:rsidR="003F2E33">
              <w:rPr>
                <w:rFonts w:ascii="Verdana" w:hAnsi="Verdana"/>
                <w:spacing w:val="-73"/>
                <w:sz w:val="24"/>
                <w:szCs w:val="24"/>
              </w:rPr>
              <w:t xml:space="preserve">   </w:t>
            </w:r>
            <w:r w:rsidRPr="006F4A93">
              <w:rPr>
                <w:rFonts w:ascii="Verdana" w:hAnsi="Verdana"/>
                <w:sz w:val="24"/>
                <w:szCs w:val="24"/>
              </w:rPr>
              <w:t>asked</w:t>
            </w:r>
            <w:r w:rsidRPr="006F4A93">
              <w:rPr>
                <w:rFonts w:ascii="Verdana" w:hAnsi="Verdana"/>
                <w:spacing w:val="15"/>
                <w:sz w:val="24"/>
                <w:szCs w:val="24"/>
              </w:rPr>
              <w:t xml:space="preserve"> </w:t>
            </w:r>
            <w:r w:rsidRPr="006F4A93">
              <w:rPr>
                <w:rFonts w:ascii="Verdana" w:hAnsi="Verdana"/>
                <w:sz w:val="24"/>
                <w:szCs w:val="24"/>
              </w:rPr>
              <w:t>to:</w:t>
            </w:r>
          </w:p>
          <w:p w:rsidR="00C3165F" w:rsidRPr="006F4A93" w:rsidRDefault="00B25B45" w:rsidP="003F2E33">
            <w:pPr>
              <w:pStyle w:val="TableParagraph"/>
              <w:numPr>
                <w:ilvl w:val="0"/>
                <w:numId w:val="1"/>
              </w:numPr>
              <w:tabs>
                <w:tab w:val="left" w:pos="400"/>
              </w:tabs>
              <w:spacing w:before="3"/>
              <w:ind w:right="309"/>
              <w:jc w:val="both"/>
              <w:rPr>
                <w:rFonts w:ascii="Verdana" w:eastAsia="Verdana" w:hAnsi="Verdana" w:cs="Verdana"/>
                <w:sz w:val="24"/>
                <w:szCs w:val="24"/>
              </w:rPr>
            </w:pPr>
            <w:r>
              <w:rPr>
                <w:rFonts w:ascii="Verdana" w:hAnsi="Verdana"/>
                <w:b/>
                <w:sz w:val="24"/>
                <w:szCs w:val="24"/>
              </w:rPr>
              <w:t xml:space="preserve">NOTE </w:t>
            </w:r>
            <w:r>
              <w:rPr>
                <w:rFonts w:ascii="Verdana" w:hAnsi="Verdana"/>
                <w:sz w:val="24"/>
                <w:szCs w:val="24"/>
              </w:rPr>
              <w:t>the overview of the last quarter A</w:t>
            </w:r>
            <w:r w:rsidR="00095727">
              <w:rPr>
                <w:rFonts w:ascii="Verdana" w:hAnsi="Verdana"/>
                <w:sz w:val="24"/>
                <w:szCs w:val="24"/>
              </w:rPr>
              <w:t>mbulance Quality Indicators (AQI</w:t>
            </w:r>
            <w:r>
              <w:rPr>
                <w:rFonts w:ascii="Verdana" w:hAnsi="Verdana"/>
                <w:sz w:val="24"/>
                <w:szCs w:val="24"/>
              </w:rPr>
              <w:t>s</w:t>
            </w:r>
            <w:r w:rsidR="00095727">
              <w:rPr>
                <w:rFonts w:ascii="Verdana" w:hAnsi="Verdana"/>
                <w:sz w:val="24"/>
                <w:szCs w:val="24"/>
              </w:rPr>
              <w:t>)</w:t>
            </w:r>
          </w:p>
          <w:p w:rsidR="00C3165F" w:rsidRPr="006F4A93" w:rsidRDefault="00C3165F" w:rsidP="00D723FB">
            <w:pPr>
              <w:pStyle w:val="TableParagraph"/>
              <w:tabs>
                <w:tab w:val="left" w:pos="400"/>
              </w:tabs>
              <w:spacing w:before="3"/>
              <w:ind w:right="99"/>
              <w:jc w:val="both"/>
              <w:rPr>
                <w:rFonts w:ascii="Verdana" w:eastAsia="Verdana" w:hAnsi="Verdana" w:cs="Verdana"/>
                <w:sz w:val="24"/>
                <w:szCs w:val="24"/>
              </w:rPr>
            </w:pPr>
          </w:p>
          <w:p w:rsidR="00C3165F" w:rsidRPr="006F4A93" w:rsidRDefault="00C3165F" w:rsidP="00D723FB">
            <w:pPr>
              <w:pStyle w:val="TableParagraph"/>
              <w:tabs>
                <w:tab w:val="left" w:pos="400"/>
              </w:tabs>
              <w:spacing w:before="3"/>
              <w:ind w:right="99"/>
              <w:jc w:val="both"/>
              <w:rPr>
                <w:rFonts w:ascii="Verdana" w:eastAsia="Verdana" w:hAnsi="Verdana" w:cs="Verdana"/>
                <w:sz w:val="24"/>
                <w:szCs w:val="24"/>
              </w:rPr>
            </w:pPr>
          </w:p>
          <w:p w:rsidR="00C3165F" w:rsidRPr="006F4A93" w:rsidRDefault="00C3165F" w:rsidP="00D723FB">
            <w:pPr>
              <w:pStyle w:val="TableParagraph"/>
              <w:tabs>
                <w:tab w:val="left" w:pos="400"/>
              </w:tabs>
              <w:spacing w:before="3"/>
              <w:ind w:right="99"/>
              <w:jc w:val="both"/>
              <w:rPr>
                <w:rFonts w:ascii="Verdana" w:eastAsia="Verdana" w:hAnsi="Verdana" w:cs="Verdana"/>
                <w:sz w:val="24"/>
                <w:szCs w:val="24"/>
              </w:rPr>
            </w:pPr>
          </w:p>
          <w:p w:rsidR="00C3165F" w:rsidRPr="006F4A93" w:rsidRDefault="00C3165F" w:rsidP="00D723FB">
            <w:pPr>
              <w:pStyle w:val="TableParagraph"/>
              <w:tabs>
                <w:tab w:val="left" w:pos="400"/>
              </w:tabs>
              <w:spacing w:before="3"/>
              <w:ind w:right="99"/>
              <w:jc w:val="both"/>
              <w:rPr>
                <w:rFonts w:ascii="Verdana" w:eastAsia="Verdana" w:hAnsi="Verdana" w:cs="Verdana"/>
                <w:sz w:val="24"/>
                <w:szCs w:val="24"/>
              </w:rPr>
            </w:pPr>
          </w:p>
        </w:tc>
      </w:tr>
      <w:tr w:rsidR="00C3165F" w:rsidRPr="006F4A93" w:rsidTr="00095727">
        <w:trPr>
          <w:trHeight w:hRule="exact" w:val="706"/>
        </w:trPr>
        <w:tc>
          <w:tcPr>
            <w:tcW w:w="9913" w:type="dxa"/>
            <w:gridSpan w:val="7"/>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line="247" w:lineRule="auto"/>
              <w:ind w:left="96" w:right="96"/>
              <w:rPr>
                <w:rFonts w:ascii="Verdana" w:eastAsia="Verdana" w:hAnsi="Verdana" w:cs="Verdana"/>
                <w:sz w:val="24"/>
                <w:szCs w:val="24"/>
              </w:rPr>
            </w:pPr>
            <w:r w:rsidRPr="006F4A93">
              <w:rPr>
                <w:rFonts w:ascii="Verdana" w:hAnsi="Verdana"/>
                <w:b/>
                <w:sz w:val="24"/>
                <w:szCs w:val="24"/>
              </w:rPr>
              <w:lastRenderedPageBreak/>
              <w:t>Summaries</w:t>
            </w:r>
            <w:r w:rsidRPr="006F4A93">
              <w:rPr>
                <w:rFonts w:ascii="Verdana" w:hAnsi="Verdana"/>
                <w:b/>
                <w:spacing w:val="41"/>
                <w:sz w:val="24"/>
                <w:szCs w:val="24"/>
              </w:rPr>
              <w:t xml:space="preserve"> </w:t>
            </w:r>
            <w:r w:rsidRPr="006F4A93">
              <w:rPr>
                <w:rFonts w:ascii="Verdana" w:hAnsi="Verdana"/>
                <w:b/>
                <w:sz w:val="24"/>
                <w:szCs w:val="24"/>
              </w:rPr>
              <w:t>the</w:t>
            </w:r>
            <w:r w:rsidRPr="006F4A93">
              <w:rPr>
                <w:rFonts w:ascii="Verdana" w:hAnsi="Verdana"/>
                <w:b/>
                <w:spacing w:val="45"/>
                <w:sz w:val="24"/>
                <w:szCs w:val="24"/>
              </w:rPr>
              <w:t xml:space="preserve"> </w:t>
            </w:r>
            <w:r w:rsidRPr="006F4A93">
              <w:rPr>
                <w:rFonts w:ascii="Verdana" w:hAnsi="Verdana"/>
                <w:b/>
                <w:sz w:val="24"/>
                <w:szCs w:val="24"/>
              </w:rPr>
              <w:t>Impact</w:t>
            </w:r>
            <w:r w:rsidRPr="006F4A93">
              <w:rPr>
                <w:rFonts w:ascii="Verdana" w:hAnsi="Verdana"/>
                <w:b/>
                <w:spacing w:val="43"/>
                <w:sz w:val="24"/>
                <w:szCs w:val="24"/>
              </w:rPr>
              <w:t xml:space="preserve"> </w:t>
            </w:r>
            <w:r w:rsidRPr="006F4A93">
              <w:rPr>
                <w:rFonts w:ascii="Verdana" w:hAnsi="Verdana"/>
                <w:b/>
                <w:sz w:val="24"/>
                <w:szCs w:val="24"/>
              </w:rPr>
              <w:t>of</w:t>
            </w:r>
            <w:r w:rsidRPr="006F4A93">
              <w:rPr>
                <w:rFonts w:ascii="Verdana" w:hAnsi="Verdana"/>
                <w:b/>
                <w:spacing w:val="41"/>
                <w:sz w:val="24"/>
                <w:szCs w:val="24"/>
              </w:rPr>
              <w:t xml:space="preserve"> </w:t>
            </w:r>
            <w:r w:rsidRPr="006F4A93">
              <w:rPr>
                <w:rFonts w:ascii="Verdana" w:hAnsi="Verdana"/>
                <w:b/>
                <w:sz w:val="24"/>
                <w:szCs w:val="24"/>
              </w:rPr>
              <w:t>the</w:t>
            </w:r>
            <w:r w:rsidRPr="006F4A93">
              <w:rPr>
                <w:rFonts w:ascii="Verdana" w:hAnsi="Verdana"/>
                <w:b/>
                <w:spacing w:val="44"/>
                <w:sz w:val="24"/>
                <w:szCs w:val="24"/>
              </w:rPr>
              <w:t xml:space="preserve"> </w:t>
            </w:r>
            <w:r w:rsidRPr="006F4A93">
              <w:rPr>
                <w:rFonts w:ascii="Verdana" w:hAnsi="Verdana"/>
                <w:b/>
                <w:sz w:val="24"/>
                <w:szCs w:val="24"/>
              </w:rPr>
              <w:t>Emergency</w:t>
            </w:r>
            <w:r w:rsidRPr="006F4A93">
              <w:rPr>
                <w:rFonts w:ascii="Verdana" w:hAnsi="Verdana"/>
                <w:b/>
                <w:spacing w:val="42"/>
                <w:sz w:val="24"/>
                <w:szCs w:val="24"/>
              </w:rPr>
              <w:t xml:space="preserve"> </w:t>
            </w:r>
            <w:r w:rsidRPr="006F4A93">
              <w:rPr>
                <w:rFonts w:ascii="Verdana" w:hAnsi="Verdana"/>
                <w:b/>
                <w:sz w:val="24"/>
                <w:szCs w:val="24"/>
              </w:rPr>
              <w:t>Ambulance</w:t>
            </w:r>
            <w:r w:rsidRPr="006F4A93">
              <w:rPr>
                <w:rFonts w:ascii="Verdana" w:hAnsi="Verdana"/>
                <w:b/>
                <w:spacing w:val="41"/>
                <w:sz w:val="24"/>
                <w:szCs w:val="24"/>
              </w:rPr>
              <w:t xml:space="preserve"> </w:t>
            </w:r>
            <w:r w:rsidRPr="006F4A93">
              <w:rPr>
                <w:rFonts w:ascii="Verdana" w:hAnsi="Verdana"/>
                <w:b/>
                <w:sz w:val="24"/>
                <w:szCs w:val="24"/>
              </w:rPr>
              <w:t>Services</w:t>
            </w:r>
            <w:r w:rsidRPr="006F4A93">
              <w:rPr>
                <w:rFonts w:ascii="Verdana" w:hAnsi="Verdana"/>
                <w:b/>
                <w:spacing w:val="-72"/>
                <w:sz w:val="24"/>
                <w:szCs w:val="24"/>
              </w:rPr>
              <w:t xml:space="preserve"> </w:t>
            </w:r>
            <w:r w:rsidRPr="006F4A93">
              <w:rPr>
                <w:rFonts w:ascii="Verdana" w:hAnsi="Verdana"/>
                <w:b/>
                <w:sz w:val="24"/>
                <w:szCs w:val="24"/>
              </w:rPr>
              <w:t>Committee</w:t>
            </w:r>
            <w:r w:rsidRPr="006F4A93">
              <w:rPr>
                <w:rFonts w:ascii="Verdana" w:hAnsi="Verdana"/>
                <w:b/>
                <w:spacing w:val="35"/>
                <w:sz w:val="24"/>
                <w:szCs w:val="24"/>
              </w:rPr>
              <w:t xml:space="preserve"> </w:t>
            </w:r>
            <w:r w:rsidRPr="006F4A93">
              <w:rPr>
                <w:rFonts w:ascii="Verdana" w:hAnsi="Verdana"/>
                <w:b/>
                <w:sz w:val="24"/>
                <w:szCs w:val="24"/>
              </w:rPr>
              <w:t>Report</w:t>
            </w:r>
          </w:p>
        </w:tc>
      </w:tr>
      <w:tr w:rsidR="00C3165F" w:rsidRPr="006F4A93" w:rsidTr="00095727">
        <w:trPr>
          <w:trHeight w:hRule="exact" w:val="734"/>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line="242" w:lineRule="auto"/>
              <w:ind w:left="96" w:right="1155"/>
              <w:rPr>
                <w:rFonts w:ascii="Verdana" w:eastAsia="Verdana" w:hAnsi="Verdana" w:cs="Verdana"/>
                <w:sz w:val="24"/>
                <w:szCs w:val="24"/>
              </w:rPr>
            </w:pPr>
            <w:r w:rsidRPr="006F4A93">
              <w:rPr>
                <w:rFonts w:ascii="Verdana" w:hAnsi="Verdana"/>
                <w:b/>
                <w:sz w:val="24"/>
                <w:szCs w:val="24"/>
              </w:rPr>
              <w:t>Equality</w:t>
            </w:r>
            <w:r w:rsidRPr="006F4A93">
              <w:rPr>
                <w:rFonts w:ascii="Verdana" w:hAnsi="Verdana"/>
                <w:b/>
                <w:spacing w:val="17"/>
                <w:sz w:val="24"/>
                <w:szCs w:val="24"/>
              </w:rPr>
              <w:t xml:space="preserve"> </w:t>
            </w:r>
            <w:r w:rsidRPr="006F4A93">
              <w:rPr>
                <w:rFonts w:ascii="Verdana" w:hAnsi="Verdana"/>
                <w:b/>
                <w:sz w:val="24"/>
                <w:szCs w:val="24"/>
              </w:rPr>
              <w:t>and</w:t>
            </w:r>
            <w:r w:rsidRPr="006F4A93">
              <w:rPr>
                <w:rFonts w:ascii="Verdana" w:hAnsi="Verdana"/>
                <w:b/>
                <w:spacing w:val="-71"/>
                <w:sz w:val="24"/>
                <w:szCs w:val="24"/>
              </w:rPr>
              <w:t xml:space="preserve"> </w:t>
            </w:r>
            <w:r w:rsidRPr="006F4A93">
              <w:rPr>
                <w:rFonts w:ascii="Verdana" w:hAnsi="Verdana"/>
                <w:b/>
                <w:sz w:val="24"/>
                <w:szCs w:val="24"/>
              </w:rPr>
              <w:t>diversity</w:t>
            </w:r>
          </w:p>
        </w:tc>
        <w:tc>
          <w:tcPr>
            <w:tcW w:w="6780" w:type="dxa"/>
            <w:gridSpan w:val="5"/>
            <w:tcBorders>
              <w:top w:val="single" w:sz="4" w:space="0" w:color="000000"/>
              <w:left w:val="single" w:sz="4" w:space="0" w:color="000000"/>
              <w:bottom w:val="single" w:sz="4" w:space="0" w:color="000000"/>
              <w:right w:val="single" w:sz="4" w:space="0" w:color="000000"/>
            </w:tcBorders>
          </w:tcPr>
          <w:p w:rsidR="00C3165F" w:rsidRPr="006F4A93" w:rsidRDefault="00C3165F" w:rsidP="00095727">
            <w:pPr>
              <w:pStyle w:val="TableParagraph"/>
              <w:spacing w:before="3" w:line="242" w:lineRule="auto"/>
              <w:ind w:left="130" w:right="504"/>
              <w:jc w:val="both"/>
              <w:rPr>
                <w:rFonts w:ascii="Verdana" w:eastAsia="Verdana" w:hAnsi="Verdana" w:cs="Verdana"/>
                <w:sz w:val="24"/>
                <w:szCs w:val="24"/>
              </w:rPr>
            </w:pPr>
            <w:r w:rsidRPr="006F4A93">
              <w:rPr>
                <w:rFonts w:ascii="Verdana" w:hAnsi="Verdana"/>
                <w:sz w:val="24"/>
                <w:szCs w:val="24"/>
              </w:rPr>
              <w:t>There</w:t>
            </w:r>
            <w:r w:rsidRPr="006F4A93">
              <w:rPr>
                <w:rFonts w:ascii="Verdana" w:hAnsi="Verdana"/>
                <w:spacing w:val="14"/>
                <w:sz w:val="24"/>
                <w:szCs w:val="24"/>
              </w:rPr>
              <w:t xml:space="preserve"> </w:t>
            </w:r>
            <w:r w:rsidRPr="006F4A93">
              <w:rPr>
                <w:rFonts w:ascii="Verdana" w:hAnsi="Verdana"/>
                <w:sz w:val="24"/>
                <w:szCs w:val="24"/>
              </w:rPr>
              <w:t>are</w:t>
            </w:r>
            <w:r w:rsidRPr="006F4A93">
              <w:rPr>
                <w:rFonts w:ascii="Verdana" w:hAnsi="Verdana"/>
                <w:spacing w:val="14"/>
                <w:sz w:val="24"/>
                <w:szCs w:val="24"/>
              </w:rPr>
              <w:t xml:space="preserve"> </w:t>
            </w:r>
            <w:r w:rsidRPr="006F4A93">
              <w:rPr>
                <w:rFonts w:ascii="Verdana" w:hAnsi="Verdana"/>
                <w:sz w:val="24"/>
                <w:szCs w:val="24"/>
              </w:rPr>
              <w:t>no</w:t>
            </w:r>
            <w:r w:rsidRPr="006F4A93">
              <w:rPr>
                <w:rFonts w:ascii="Verdana" w:hAnsi="Verdana"/>
                <w:spacing w:val="12"/>
                <w:sz w:val="24"/>
                <w:szCs w:val="24"/>
              </w:rPr>
              <w:t xml:space="preserve"> </w:t>
            </w:r>
            <w:r w:rsidRPr="006F4A93">
              <w:rPr>
                <w:rFonts w:ascii="Verdana" w:hAnsi="Verdana"/>
                <w:sz w:val="24"/>
                <w:szCs w:val="24"/>
              </w:rPr>
              <w:t>implications</w:t>
            </w:r>
            <w:r w:rsidRPr="006F4A93">
              <w:rPr>
                <w:rFonts w:ascii="Verdana" w:hAnsi="Verdana"/>
                <w:spacing w:val="11"/>
                <w:sz w:val="24"/>
                <w:szCs w:val="24"/>
              </w:rPr>
              <w:t xml:space="preserve"> </w:t>
            </w:r>
            <w:r w:rsidRPr="006F4A93">
              <w:rPr>
                <w:rFonts w:ascii="Verdana" w:hAnsi="Verdana"/>
                <w:sz w:val="24"/>
                <w:szCs w:val="24"/>
              </w:rPr>
              <w:t>arising</w:t>
            </w:r>
            <w:r w:rsidRPr="006F4A93">
              <w:rPr>
                <w:rFonts w:ascii="Verdana" w:hAnsi="Verdana"/>
                <w:spacing w:val="14"/>
                <w:sz w:val="24"/>
                <w:szCs w:val="24"/>
              </w:rPr>
              <w:t xml:space="preserve"> </w:t>
            </w:r>
            <w:r w:rsidRPr="006F4A93">
              <w:rPr>
                <w:rFonts w:ascii="Verdana" w:hAnsi="Verdana"/>
                <w:sz w:val="24"/>
                <w:szCs w:val="24"/>
              </w:rPr>
              <w:t>directly</w:t>
            </w:r>
            <w:r w:rsidRPr="006F4A93">
              <w:rPr>
                <w:rFonts w:ascii="Verdana" w:hAnsi="Verdana"/>
                <w:spacing w:val="11"/>
                <w:sz w:val="24"/>
                <w:szCs w:val="24"/>
              </w:rPr>
              <w:t xml:space="preserve"> </w:t>
            </w:r>
            <w:r w:rsidRPr="006F4A93">
              <w:rPr>
                <w:rFonts w:ascii="Verdana" w:hAnsi="Verdana"/>
                <w:sz w:val="24"/>
                <w:szCs w:val="24"/>
              </w:rPr>
              <w:t>from</w:t>
            </w:r>
            <w:r w:rsidRPr="006F4A93">
              <w:rPr>
                <w:rFonts w:ascii="Verdana" w:hAnsi="Verdana"/>
                <w:spacing w:val="-74"/>
                <w:sz w:val="24"/>
                <w:szCs w:val="24"/>
              </w:rPr>
              <w:t xml:space="preserve"> </w:t>
            </w:r>
            <w:r w:rsidRPr="006F4A93">
              <w:rPr>
                <w:rFonts w:ascii="Verdana" w:hAnsi="Verdana"/>
                <w:sz w:val="24"/>
                <w:szCs w:val="24"/>
              </w:rPr>
              <w:t>this</w:t>
            </w:r>
            <w:r w:rsidRPr="006F4A93">
              <w:rPr>
                <w:rFonts w:ascii="Verdana" w:hAnsi="Verdana"/>
                <w:spacing w:val="19"/>
                <w:sz w:val="24"/>
                <w:szCs w:val="24"/>
              </w:rPr>
              <w:t xml:space="preserve"> </w:t>
            </w:r>
            <w:r w:rsidRPr="006F4A93">
              <w:rPr>
                <w:rFonts w:ascii="Verdana" w:hAnsi="Verdana"/>
                <w:sz w:val="24"/>
                <w:szCs w:val="24"/>
              </w:rPr>
              <w:t>report.</w:t>
            </w:r>
          </w:p>
        </w:tc>
      </w:tr>
      <w:tr w:rsidR="00C3165F" w:rsidRPr="006F4A93" w:rsidTr="00095727">
        <w:trPr>
          <w:trHeight w:hRule="exact" w:val="843"/>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Legal</w:t>
            </w:r>
            <w:r w:rsidRPr="006F4A93">
              <w:rPr>
                <w:rFonts w:ascii="Verdana" w:hAnsi="Verdana"/>
                <w:b/>
                <w:spacing w:val="34"/>
                <w:sz w:val="24"/>
                <w:szCs w:val="24"/>
              </w:rPr>
              <w:t xml:space="preserve"> </w:t>
            </w:r>
            <w:r w:rsidRPr="006F4A93">
              <w:rPr>
                <w:rFonts w:ascii="Verdana" w:hAnsi="Verdana"/>
                <w:b/>
                <w:sz w:val="24"/>
                <w:szCs w:val="24"/>
              </w:rPr>
              <w:t>implications</w:t>
            </w:r>
          </w:p>
        </w:tc>
        <w:tc>
          <w:tcPr>
            <w:tcW w:w="6780" w:type="dxa"/>
            <w:gridSpan w:val="5"/>
            <w:tcBorders>
              <w:top w:val="single" w:sz="4" w:space="0" w:color="000000"/>
              <w:left w:val="single" w:sz="4" w:space="0" w:color="000000"/>
              <w:bottom w:val="single" w:sz="4" w:space="0" w:color="000000"/>
              <w:right w:val="single" w:sz="4" w:space="0" w:color="000000"/>
            </w:tcBorders>
          </w:tcPr>
          <w:p w:rsidR="00C3165F" w:rsidRPr="006F4A93" w:rsidRDefault="00C3165F" w:rsidP="00095727">
            <w:pPr>
              <w:pStyle w:val="TableParagraph"/>
              <w:spacing w:before="3" w:line="242" w:lineRule="auto"/>
              <w:ind w:left="130" w:right="504"/>
              <w:jc w:val="both"/>
              <w:rPr>
                <w:rFonts w:ascii="Verdana" w:eastAsia="Verdana" w:hAnsi="Verdana" w:cs="Verdana"/>
                <w:sz w:val="24"/>
                <w:szCs w:val="24"/>
              </w:rPr>
            </w:pPr>
            <w:r w:rsidRPr="006F4A93">
              <w:rPr>
                <w:rFonts w:ascii="Verdana" w:hAnsi="Verdana"/>
                <w:sz w:val="24"/>
                <w:szCs w:val="24"/>
              </w:rPr>
              <w:t>There</w:t>
            </w:r>
            <w:r w:rsidRPr="006F4A93">
              <w:rPr>
                <w:rFonts w:ascii="Verdana" w:hAnsi="Verdana"/>
                <w:spacing w:val="14"/>
                <w:sz w:val="24"/>
                <w:szCs w:val="24"/>
              </w:rPr>
              <w:t xml:space="preserve"> </w:t>
            </w:r>
            <w:r w:rsidRPr="006F4A93">
              <w:rPr>
                <w:rFonts w:ascii="Verdana" w:hAnsi="Verdana"/>
                <w:sz w:val="24"/>
                <w:szCs w:val="24"/>
              </w:rPr>
              <w:t>are</w:t>
            </w:r>
            <w:r w:rsidRPr="006F4A93">
              <w:rPr>
                <w:rFonts w:ascii="Verdana" w:hAnsi="Verdana"/>
                <w:spacing w:val="14"/>
                <w:sz w:val="24"/>
                <w:szCs w:val="24"/>
              </w:rPr>
              <w:t xml:space="preserve"> </w:t>
            </w:r>
            <w:r w:rsidRPr="006F4A93">
              <w:rPr>
                <w:rFonts w:ascii="Verdana" w:hAnsi="Verdana"/>
                <w:sz w:val="24"/>
                <w:szCs w:val="24"/>
              </w:rPr>
              <w:t>no</w:t>
            </w:r>
            <w:r w:rsidRPr="006F4A93">
              <w:rPr>
                <w:rFonts w:ascii="Verdana" w:hAnsi="Verdana"/>
                <w:spacing w:val="12"/>
                <w:sz w:val="24"/>
                <w:szCs w:val="24"/>
              </w:rPr>
              <w:t xml:space="preserve"> </w:t>
            </w:r>
            <w:r w:rsidRPr="006F4A93">
              <w:rPr>
                <w:rFonts w:ascii="Verdana" w:hAnsi="Verdana"/>
                <w:sz w:val="24"/>
                <w:szCs w:val="24"/>
              </w:rPr>
              <w:t>implications</w:t>
            </w:r>
            <w:r w:rsidRPr="006F4A93">
              <w:rPr>
                <w:rFonts w:ascii="Verdana" w:hAnsi="Verdana"/>
                <w:spacing w:val="11"/>
                <w:sz w:val="24"/>
                <w:szCs w:val="24"/>
              </w:rPr>
              <w:t xml:space="preserve"> </w:t>
            </w:r>
            <w:r w:rsidRPr="006F4A93">
              <w:rPr>
                <w:rFonts w:ascii="Verdana" w:hAnsi="Verdana"/>
                <w:sz w:val="24"/>
                <w:szCs w:val="24"/>
              </w:rPr>
              <w:t>arising</w:t>
            </w:r>
            <w:r w:rsidRPr="006F4A93">
              <w:rPr>
                <w:rFonts w:ascii="Verdana" w:hAnsi="Verdana"/>
                <w:spacing w:val="14"/>
                <w:sz w:val="24"/>
                <w:szCs w:val="24"/>
              </w:rPr>
              <w:t xml:space="preserve"> </w:t>
            </w:r>
            <w:r w:rsidRPr="006F4A93">
              <w:rPr>
                <w:rFonts w:ascii="Verdana" w:hAnsi="Verdana"/>
                <w:sz w:val="24"/>
                <w:szCs w:val="24"/>
              </w:rPr>
              <w:t>directly</w:t>
            </w:r>
            <w:r w:rsidRPr="006F4A93">
              <w:rPr>
                <w:rFonts w:ascii="Verdana" w:hAnsi="Verdana"/>
                <w:spacing w:val="11"/>
                <w:sz w:val="24"/>
                <w:szCs w:val="24"/>
              </w:rPr>
              <w:t xml:space="preserve"> </w:t>
            </w:r>
            <w:r w:rsidRPr="006F4A93">
              <w:rPr>
                <w:rFonts w:ascii="Verdana" w:hAnsi="Verdana"/>
                <w:sz w:val="24"/>
                <w:szCs w:val="24"/>
              </w:rPr>
              <w:t>from</w:t>
            </w:r>
            <w:r w:rsidRPr="006F4A93">
              <w:rPr>
                <w:rFonts w:ascii="Verdana" w:hAnsi="Verdana"/>
                <w:spacing w:val="-74"/>
                <w:sz w:val="24"/>
                <w:szCs w:val="24"/>
              </w:rPr>
              <w:t xml:space="preserve"> </w:t>
            </w:r>
            <w:r w:rsidRPr="006F4A93">
              <w:rPr>
                <w:rFonts w:ascii="Verdana" w:hAnsi="Verdana"/>
                <w:sz w:val="24"/>
                <w:szCs w:val="24"/>
              </w:rPr>
              <w:t>this</w:t>
            </w:r>
            <w:r w:rsidRPr="006F4A93">
              <w:rPr>
                <w:rFonts w:ascii="Verdana" w:hAnsi="Verdana"/>
                <w:spacing w:val="19"/>
                <w:sz w:val="24"/>
                <w:szCs w:val="24"/>
              </w:rPr>
              <w:t xml:space="preserve"> </w:t>
            </w:r>
            <w:r w:rsidRPr="006F4A93">
              <w:rPr>
                <w:rFonts w:ascii="Verdana" w:hAnsi="Verdana"/>
                <w:sz w:val="24"/>
                <w:szCs w:val="24"/>
              </w:rPr>
              <w:t>report.</w:t>
            </w:r>
          </w:p>
        </w:tc>
      </w:tr>
      <w:tr w:rsidR="00C3165F" w:rsidRPr="006F4A93" w:rsidTr="00095727">
        <w:trPr>
          <w:trHeight w:hRule="exact" w:val="687"/>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Population</w:t>
            </w:r>
            <w:r w:rsidRPr="006F4A93">
              <w:rPr>
                <w:rFonts w:ascii="Verdana" w:hAnsi="Verdana"/>
                <w:b/>
                <w:spacing w:val="36"/>
                <w:sz w:val="24"/>
                <w:szCs w:val="24"/>
              </w:rPr>
              <w:t xml:space="preserve"> </w:t>
            </w:r>
            <w:r w:rsidRPr="006F4A93">
              <w:rPr>
                <w:rFonts w:ascii="Verdana" w:hAnsi="Verdana"/>
                <w:b/>
                <w:sz w:val="24"/>
                <w:szCs w:val="24"/>
              </w:rPr>
              <w:t>Health</w:t>
            </w:r>
          </w:p>
        </w:tc>
        <w:tc>
          <w:tcPr>
            <w:tcW w:w="6780" w:type="dxa"/>
            <w:gridSpan w:val="5"/>
            <w:tcBorders>
              <w:top w:val="single" w:sz="4" w:space="0" w:color="000000"/>
              <w:left w:val="single" w:sz="4" w:space="0" w:color="000000"/>
              <w:bottom w:val="single" w:sz="4" w:space="0" w:color="000000"/>
              <w:right w:val="single" w:sz="4" w:space="0" w:color="000000"/>
            </w:tcBorders>
          </w:tcPr>
          <w:p w:rsidR="00C3165F" w:rsidRPr="006F4A93" w:rsidRDefault="00B25B45" w:rsidP="00095727">
            <w:pPr>
              <w:pStyle w:val="TableParagraph"/>
              <w:spacing w:before="3"/>
              <w:ind w:left="130"/>
              <w:jc w:val="both"/>
              <w:rPr>
                <w:rFonts w:ascii="Verdana" w:eastAsia="Verdana" w:hAnsi="Verdana" w:cs="Verdana"/>
                <w:sz w:val="24"/>
                <w:szCs w:val="24"/>
              </w:rPr>
            </w:pPr>
            <w:r>
              <w:rPr>
                <w:rFonts w:ascii="Verdana" w:hAnsi="Verdana"/>
                <w:sz w:val="24"/>
                <w:szCs w:val="24"/>
              </w:rPr>
              <w:t>The aim of the AQI’s is to improve the population health</w:t>
            </w:r>
          </w:p>
        </w:tc>
      </w:tr>
      <w:tr w:rsidR="00C3165F" w:rsidRPr="006F4A93" w:rsidTr="00095727">
        <w:trPr>
          <w:trHeight w:hRule="exact" w:val="853"/>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line="244" w:lineRule="auto"/>
              <w:ind w:left="96" w:right="351"/>
              <w:rPr>
                <w:rFonts w:ascii="Verdana" w:eastAsia="Verdana" w:hAnsi="Verdana" w:cs="Verdana"/>
                <w:sz w:val="24"/>
                <w:szCs w:val="24"/>
              </w:rPr>
            </w:pPr>
            <w:r w:rsidRPr="006F4A93">
              <w:rPr>
                <w:rFonts w:ascii="Verdana" w:hAnsi="Verdana"/>
                <w:b/>
                <w:sz w:val="24"/>
                <w:szCs w:val="24"/>
              </w:rPr>
              <w:t>Quality, Safety &amp;</w:t>
            </w:r>
            <w:r w:rsidRPr="006F4A93">
              <w:rPr>
                <w:rFonts w:ascii="Verdana" w:hAnsi="Verdana"/>
                <w:b/>
                <w:spacing w:val="-47"/>
                <w:sz w:val="24"/>
                <w:szCs w:val="24"/>
              </w:rPr>
              <w:t xml:space="preserve"> </w:t>
            </w:r>
            <w:r w:rsidRPr="006F4A93">
              <w:rPr>
                <w:rFonts w:ascii="Verdana" w:hAnsi="Verdana"/>
                <w:b/>
                <w:sz w:val="24"/>
                <w:szCs w:val="24"/>
              </w:rPr>
              <w:t>Patient</w:t>
            </w:r>
            <w:r w:rsidRPr="006F4A93">
              <w:rPr>
                <w:rFonts w:ascii="Verdana" w:hAnsi="Verdana"/>
                <w:b/>
                <w:spacing w:val="38"/>
                <w:sz w:val="24"/>
                <w:szCs w:val="24"/>
              </w:rPr>
              <w:t xml:space="preserve"> </w:t>
            </w:r>
            <w:r w:rsidRPr="006F4A93">
              <w:rPr>
                <w:rFonts w:ascii="Verdana" w:hAnsi="Verdana"/>
                <w:b/>
                <w:sz w:val="24"/>
                <w:szCs w:val="24"/>
              </w:rPr>
              <w:t>Experience</w:t>
            </w:r>
          </w:p>
        </w:tc>
        <w:tc>
          <w:tcPr>
            <w:tcW w:w="6780" w:type="dxa"/>
            <w:gridSpan w:val="5"/>
            <w:tcBorders>
              <w:top w:val="single" w:sz="4" w:space="0" w:color="000000"/>
              <w:left w:val="single" w:sz="4" w:space="0" w:color="000000"/>
              <w:bottom w:val="single" w:sz="4" w:space="0" w:color="000000"/>
              <w:right w:val="single" w:sz="4" w:space="0" w:color="000000"/>
            </w:tcBorders>
          </w:tcPr>
          <w:p w:rsidR="00C3165F" w:rsidRPr="006F4A93" w:rsidRDefault="00B25B45" w:rsidP="00095727">
            <w:pPr>
              <w:pStyle w:val="TableParagraph"/>
              <w:spacing w:before="3" w:line="244" w:lineRule="auto"/>
              <w:ind w:left="130" w:right="237"/>
              <w:jc w:val="both"/>
              <w:rPr>
                <w:rFonts w:ascii="Verdana" w:eastAsia="Verdana" w:hAnsi="Verdana" w:cs="Verdana"/>
                <w:sz w:val="24"/>
                <w:szCs w:val="24"/>
              </w:rPr>
            </w:pPr>
            <w:r>
              <w:rPr>
                <w:rFonts w:ascii="Verdana" w:hAnsi="Verdana"/>
                <w:sz w:val="24"/>
                <w:szCs w:val="24"/>
              </w:rPr>
              <w:t>The aim of the AQI’s is to improve quality, safety and patient experience</w:t>
            </w:r>
          </w:p>
        </w:tc>
      </w:tr>
      <w:tr w:rsidR="00C3165F" w:rsidRPr="006F4A93" w:rsidTr="00095727">
        <w:trPr>
          <w:trHeight w:hRule="exact" w:val="837"/>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Resources</w:t>
            </w:r>
          </w:p>
        </w:tc>
        <w:tc>
          <w:tcPr>
            <w:tcW w:w="6780" w:type="dxa"/>
            <w:gridSpan w:val="5"/>
            <w:tcBorders>
              <w:top w:val="single" w:sz="4" w:space="0" w:color="000000"/>
              <w:left w:val="single" w:sz="4" w:space="0" w:color="000000"/>
              <w:bottom w:val="single" w:sz="4" w:space="0" w:color="000000"/>
              <w:right w:val="single" w:sz="4" w:space="0" w:color="000000"/>
            </w:tcBorders>
          </w:tcPr>
          <w:p w:rsidR="00C3165F" w:rsidRPr="006F4A93" w:rsidRDefault="00B25B45" w:rsidP="00095727">
            <w:pPr>
              <w:pStyle w:val="TableParagraph"/>
              <w:spacing w:before="3"/>
              <w:ind w:left="130"/>
              <w:jc w:val="both"/>
              <w:rPr>
                <w:rFonts w:ascii="Verdana" w:eastAsia="Verdana" w:hAnsi="Verdana" w:cs="Verdana"/>
                <w:sz w:val="24"/>
                <w:szCs w:val="24"/>
              </w:rPr>
            </w:pPr>
            <w:r>
              <w:rPr>
                <w:rFonts w:ascii="Verdana" w:hAnsi="Verdana"/>
                <w:sz w:val="24"/>
                <w:szCs w:val="24"/>
              </w:rPr>
              <w:t>All resource implications are contained within the framework</w:t>
            </w:r>
          </w:p>
        </w:tc>
      </w:tr>
      <w:tr w:rsidR="00C3165F" w:rsidRPr="006F4A93" w:rsidTr="00095727">
        <w:trPr>
          <w:trHeight w:hRule="exact" w:val="408"/>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5"/>
              <w:ind w:left="96"/>
              <w:rPr>
                <w:rFonts w:ascii="Verdana" w:eastAsia="Verdana" w:hAnsi="Verdana" w:cs="Verdana"/>
                <w:sz w:val="24"/>
                <w:szCs w:val="24"/>
              </w:rPr>
            </w:pPr>
            <w:r w:rsidRPr="006F4A93">
              <w:rPr>
                <w:rFonts w:ascii="Verdana" w:hAnsi="Verdana"/>
                <w:b/>
                <w:sz w:val="24"/>
                <w:szCs w:val="24"/>
              </w:rPr>
              <w:t>Risks and</w:t>
            </w:r>
            <w:r w:rsidRPr="006F4A93">
              <w:rPr>
                <w:rFonts w:ascii="Verdana" w:hAnsi="Verdana"/>
                <w:b/>
                <w:spacing w:val="40"/>
                <w:sz w:val="24"/>
                <w:szCs w:val="24"/>
              </w:rPr>
              <w:t xml:space="preserve"> </w:t>
            </w:r>
            <w:r w:rsidRPr="006F4A93">
              <w:rPr>
                <w:rFonts w:ascii="Verdana" w:hAnsi="Verdana"/>
                <w:b/>
                <w:sz w:val="24"/>
                <w:szCs w:val="24"/>
              </w:rPr>
              <w:t>Assurance</w:t>
            </w:r>
          </w:p>
        </w:tc>
        <w:tc>
          <w:tcPr>
            <w:tcW w:w="6780" w:type="dxa"/>
            <w:gridSpan w:val="5"/>
            <w:tcBorders>
              <w:top w:val="single" w:sz="4" w:space="0" w:color="000000"/>
              <w:left w:val="single" w:sz="4" w:space="0" w:color="000000"/>
              <w:bottom w:val="single" w:sz="4" w:space="0" w:color="000000"/>
              <w:right w:val="single" w:sz="4" w:space="0" w:color="000000"/>
            </w:tcBorders>
          </w:tcPr>
          <w:p w:rsidR="00C3165F" w:rsidRPr="006F4A93" w:rsidRDefault="00B25B45" w:rsidP="00095727">
            <w:pPr>
              <w:pStyle w:val="TableParagraph"/>
              <w:spacing w:before="5"/>
              <w:ind w:left="130"/>
              <w:jc w:val="both"/>
              <w:rPr>
                <w:rFonts w:ascii="Verdana" w:eastAsia="Verdana" w:hAnsi="Verdana" w:cs="Verdana"/>
                <w:sz w:val="24"/>
                <w:szCs w:val="24"/>
              </w:rPr>
            </w:pPr>
            <w:r>
              <w:rPr>
                <w:rFonts w:ascii="Verdana" w:hAnsi="Verdana"/>
                <w:sz w:val="24"/>
                <w:szCs w:val="24"/>
              </w:rPr>
              <w:t>The aim of the AQI’s is to increase assurance</w:t>
            </w:r>
          </w:p>
        </w:tc>
      </w:tr>
      <w:tr w:rsidR="00C3165F" w:rsidRPr="006F4A93" w:rsidTr="00095727">
        <w:trPr>
          <w:trHeight w:hRule="exact" w:val="3007"/>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line="242" w:lineRule="auto"/>
              <w:ind w:left="96" w:right="975"/>
              <w:rPr>
                <w:rFonts w:ascii="Verdana" w:eastAsia="Verdana" w:hAnsi="Verdana" w:cs="Verdana"/>
                <w:sz w:val="24"/>
                <w:szCs w:val="24"/>
              </w:rPr>
            </w:pPr>
            <w:r w:rsidRPr="006F4A93">
              <w:rPr>
                <w:rFonts w:ascii="Verdana" w:hAnsi="Verdana"/>
                <w:b/>
                <w:sz w:val="24"/>
                <w:szCs w:val="24"/>
              </w:rPr>
              <w:t>Health</w:t>
            </w:r>
            <w:r w:rsidRPr="006F4A93">
              <w:rPr>
                <w:rFonts w:ascii="Verdana" w:hAnsi="Verdana"/>
                <w:b/>
                <w:spacing w:val="11"/>
                <w:sz w:val="24"/>
                <w:szCs w:val="24"/>
              </w:rPr>
              <w:t xml:space="preserve"> </w:t>
            </w:r>
            <w:r w:rsidRPr="006F4A93">
              <w:rPr>
                <w:rFonts w:ascii="Verdana" w:hAnsi="Verdana"/>
                <w:b/>
                <w:sz w:val="24"/>
                <w:szCs w:val="24"/>
              </w:rPr>
              <w:t>&amp;</w:t>
            </w:r>
            <w:r w:rsidRPr="006F4A93">
              <w:rPr>
                <w:rFonts w:ascii="Verdana" w:hAnsi="Verdana"/>
                <w:b/>
                <w:spacing w:val="11"/>
                <w:sz w:val="24"/>
                <w:szCs w:val="24"/>
              </w:rPr>
              <w:t xml:space="preserve"> </w:t>
            </w:r>
            <w:r w:rsidRPr="006F4A93">
              <w:rPr>
                <w:rFonts w:ascii="Verdana" w:hAnsi="Verdana"/>
                <w:b/>
                <w:sz w:val="24"/>
                <w:szCs w:val="24"/>
              </w:rPr>
              <w:t>Care</w:t>
            </w:r>
            <w:r w:rsidRPr="006F4A93">
              <w:rPr>
                <w:rFonts w:ascii="Verdana" w:hAnsi="Verdana"/>
                <w:b/>
                <w:spacing w:val="-73"/>
                <w:sz w:val="24"/>
                <w:szCs w:val="24"/>
              </w:rPr>
              <w:t xml:space="preserve"> </w:t>
            </w:r>
            <w:r w:rsidRPr="006F4A93">
              <w:rPr>
                <w:rFonts w:ascii="Verdana" w:hAnsi="Verdana"/>
                <w:b/>
                <w:sz w:val="24"/>
                <w:szCs w:val="24"/>
              </w:rPr>
              <w:t>Standards</w:t>
            </w:r>
          </w:p>
        </w:tc>
        <w:tc>
          <w:tcPr>
            <w:tcW w:w="6780" w:type="dxa"/>
            <w:gridSpan w:val="5"/>
            <w:tcBorders>
              <w:top w:val="single" w:sz="4" w:space="0" w:color="000000"/>
              <w:left w:val="single" w:sz="4" w:space="0" w:color="000000"/>
              <w:bottom w:val="single" w:sz="4" w:space="0" w:color="000000"/>
              <w:right w:val="single" w:sz="4" w:space="0" w:color="000000"/>
            </w:tcBorders>
          </w:tcPr>
          <w:p w:rsidR="00C3165F" w:rsidRPr="006F4A93" w:rsidRDefault="00C3165F" w:rsidP="00095727">
            <w:pPr>
              <w:pStyle w:val="TableParagraph"/>
              <w:spacing w:before="3" w:line="242" w:lineRule="auto"/>
              <w:ind w:left="130" w:right="95"/>
              <w:jc w:val="both"/>
              <w:rPr>
                <w:rFonts w:ascii="Verdana" w:eastAsia="Verdana" w:hAnsi="Verdana" w:cs="Verdana"/>
                <w:sz w:val="24"/>
                <w:szCs w:val="24"/>
              </w:rPr>
            </w:pPr>
            <w:r w:rsidRPr="006F4A93">
              <w:rPr>
                <w:rFonts w:ascii="Verdana" w:hAnsi="Verdana"/>
                <w:sz w:val="24"/>
                <w:szCs w:val="24"/>
              </w:rPr>
              <w:t>The</w:t>
            </w:r>
            <w:r w:rsidRPr="006F4A93">
              <w:rPr>
                <w:rFonts w:ascii="Verdana" w:hAnsi="Verdana"/>
                <w:spacing w:val="44"/>
                <w:sz w:val="24"/>
                <w:szCs w:val="24"/>
              </w:rPr>
              <w:t xml:space="preserve"> </w:t>
            </w:r>
            <w:r w:rsidRPr="006F4A93">
              <w:rPr>
                <w:rFonts w:ascii="Verdana" w:hAnsi="Verdana"/>
                <w:sz w:val="24"/>
                <w:szCs w:val="24"/>
              </w:rPr>
              <w:t>22</w:t>
            </w:r>
            <w:r w:rsidRPr="006F4A93">
              <w:rPr>
                <w:rFonts w:ascii="Verdana" w:hAnsi="Verdana"/>
                <w:spacing w:val="44"/>
                <w:sz w:val="24"/>
                <w:szCs w:val="24"/>
              </w:rPr>
              <w:t xml:space="preserve"> </w:t>
            </w:r>
            <w:r w:rsidRPr="006F4A93">
              <w:rPr>
                <w:rFonts w:ascii="Verdana" w:hAnsi="Verdana"/>
                <w:sz w:val="24"/>
                <w:szCs w:val="24"/>
              </w:rPr>
              <w:t>Health</w:t>
            </w:r>
            <w:r w:rsidRPr="006F4A93">
              <w:rPr>
                <w:rFonts w:ascii="Verdana" w:hAnsi="Verdana"/>
                <w:spacing w:val="42"/>
                <w:sz w:val="24"/>
                <w:szCs w:val="24"/>
              </w:rPr>
              <w:t xml:space="preserve"> </w:t>
            </w:r>
            <w:r w:rsidRPr="006F4A93">
              <w:rPr>
                <w:rFonts w:ascii="Verdana" w:hAnsi="Verdana"/>
                <w:sz w:val="24"/>
                <w:szCs w:val="24"/>
              </w:rPr>
              <w:t>&amp;</w:t>
            </w:r>
            <w:r w:rsidRPr="006F4A93">
              <w:rPr>
                <w:rFonts w:ascii="Verdana" w:hAnsi="Verdana"/>
                <w:spacing w:val="44"/>
                <w:sz w:val="24"/>
                <w:szCs w:val="24"/>
              </w:rPr>
              <w:t xml:space="preserve"> </w:t>
            </w:r>
            <w:r w:rsidRPr="006F4A93">
              <w:rPr>
                <w:rFonts w:ascii="Verdana" w:hAnsi="Verdana"/>
                <w:sz w:val="24"/>
                <w:szCs w:val="24"/>
              </w:rPr>
              <w:t>Care</w:t>
            </w:r>
            <w:r w:rsidRPr="006F4A93">
              <w:rPr>
                <w:rFonts w:ascii="Verdana" w:hAnsi="Verdana"/>
                <w:spacing w:val="44"/>
                <w:sz w:val="24"/>
                <w:szCs w:val="24"/>
              </w:rPr>
              <w:t xml:space="preserve"> </w:t>
            </w:r>
            <w:r w:rsidRPr="006F4A93">
              <w:rPr>
                <w:rFonts w:ascii="Verdana" w:hAnsi="Verdana"/>
                <w:sz w:val="24"/>
                <w:szCs w:val="24"/>
              </w:rPr>
              <w:t>Standards</w:t>
            </w:r>
            <w:r w:rsidRPr="006F4A93">
              <w:rPr>
                <w:rFonts w:ascii="Verdana" w:hAnsi="Verdana"/>
                <w:spacing w:val="43"/>
                <w:sz w:val="24"/>
                <w:szCs w:val="24"/>
              </w:rPr>
              <w:t xml:space="preserve"> </w:t>
            </w:r>
            <w:r w:rsidRPr="006F4A93">
              <w:rPr>
                <w:rFonts w:ascii="Verdana" w:hAnsi="Verdana"/>
                <w:sz w:val="24"/>
                <w:szCs w:val="24"/>
              </w:rPr>
              <w:t>for</w:t>
            </w:r>
            <w:r w:rsidRPr="006F4A93">
              <w:rPr>
                <w:rFonts w:ascii="Verdana" w:hAnsi="Verdana"/>
                <w:spacing w:val="44"/>
                <w:sz w:val="24"/>
                <w:szCs w:val="24"/>
              </w:rPr>
              <w:t xml:space="preserve"> </w:t>
            </w:r>
            <w:r w:rsidRPr="006F4A93">
              <w:rPr>
                <w:rFonts w:ascii="Verdana" w:hAnsi="Verdana"/>
                <w:sz w:val="24"/>
                <w:szCs w:val="24"/>
              </w:rPr>
              <w:t>NHS</w:t>
            </w:r>
            <w:r w:rsidRPr="006F4A93">
              <w:rPr>
                <w:rFonts w:ascii="Verdana" w:hAnsi="Verdana"/>
                <w:spacing w:val="42"/>
                <w:sz w:val="24"/>
                <w:szCs w:val="24"/>
              </w:rPr>
              <w:t xml:space="preserve"> </w:t>
            </w:r>
            <w:r w:rsidRPr="006F4A93">
              <w:rPr>
                <w:rFonts w:ascii="Verdana" w:hAnsi="Verdana"/>
                <w:sz w:val="24"/>
                <w:szCs w:val="24"/>
              </w:rPr>
              <w:t>Wales</w:t>
            </w:r>
            <w:r w:rsidRPr="006F4A93">
              <w:rPr>
                <w:rFonts w:ascii="Verdana" w:hAnsi="Verdana"/>
                <w:w w:val="101"/>
                <w:sz w:val="24"/>
                <w:szCs w:val="24"/>
              </w:rPr>
              <w:t xml:space="preserve"> </w:t>
            </w:r>
            <w:r w:rsidRPr="006F4A93">
              <w:rPr>
                <w:rFonts w:ascii="Verdana" w:hAnsi="Verdana"/>
                <w:sz w:val="24"/>
                <w:szCs w:val="24"/>
              </w:rPr>
              <w:t>are mapped into the 7 Quality</w:t>
            </w:r>
            <w:r w:rsidRPr="006F4A93">
              <w:rPr>
                <w:rFonts w:ascii="Verdana" w:hAnsi="Verdana"/>
                <w:spacing w:val="67"/>
                <w:sz w:val="24"/>
                <w:szCs w:val="24"/>
              </w:rPr>
              <w:t xml:space="preserve"> </w:t>
            </w:r>
            <w:r w:rsidRPr="006F4A93">
              <w:rPr>
                <w:rFonts w:ascii="Verdana" w:hAnsi="Verdana"/>
                <w:sz w:val="24"/>
                <w:szCs w:val="24"/>
              </w:rPr>
              <w:t>Themes:</w:t>
            </w:r>
          </w:p>
          <w:p w:rsidR="00C3165F" w:rsidRPr="006F4A93" w:rsidRDefault="00C3165F" w:rsidP="00095727">
            <w:pPr>
              <w:pStyle w:val="TableParagraph"/>
              <w:tabs>
                <w:tab w:val="left" w:pos="1199"/>
                <w:tab w:val="left" w:pos="2382"/>
                <w:tab w:val="left" w:pos="3099"/>
                <w:tab w:val="left" w:pos="3940"/>
                <w:tab w:val="left" w:pos="5124"/>
              </w:tabs>
              <w:spacing w:before="3" w:line="244" w:lineRule="auto"/>
              <w:ind w:left="130" w:right="93"/>
              <w:jc w:val="both"/>
              <w:rPr>
                <w:rFonts w:ascii="Verdana" w:eastAsia="Verdana" w:hAnsi="Verdana" w:cs="Verdana"/>
                <w:sz w:val="24"/>
                <w:szCs w:val="24"/>
              </w:rPr>
            </w:pPr>
            <w:r w:rsidRPr="006F4A93">
              <w:rPr>
                <w:rFonts w:ascii="Verdana" w:hAnsi="Verdana"/>
                <w:spacing w:val="-1"/>
                <w:sz w:val="24"/>
                <w:szCs w:val="24"/>
              </w:rPr>
              <w:t>Staying</w:t>
            </w:r>
            <w:r w:rsidRPr="006F4A93">
              <w:rPr>
                <w:rFonts w:ascii="Verdana" w:hAnsi="Verdana"/>
                <w:spacing w:val="-1"/>
                <w:sz w:val="24"/>
                <w:szCs w:val="24"/>
              </w:rPr>
              <w:tab/>
              <w:t>Healthy;</w:t>
            </w:r>
            <w:r w:rsidRPr="006F4A93">
              <w:rPr>
                <w:rFonts w:ascii="Verdana" w:hAnsi="Verdana"/>
                <w:spacing w:val="-1"/>
                <w:sz w:val="24"/>
                <w:szCs w:val="24"/>
              </w:rPr>
              <w:tab/>
              <w:t>Safe</w:t>
            </w:r>
            <w:r w:rsidRPr="006F4A93">
              <w:rPr>
                <w:rFonts w:ascii="Verdana" w:hAnsi="Verdana"/>
                <w:spacing w:val="-1"/>
                <w:sz w:val="24"/>
                <w:szCs w:val="24"/>
              </w:rPr>
              <w:tab/>
              <w:t>Care;</w:t>
            </w:r>
            <w:r w:rsidRPr="006F4A93">
              <w:rPr>
                <w:rFonts w:ascii="Verdana" w:hAnsi="Verdana"/>
                <w:spacing w:val="-1"/>
                <w:sz w:val="24"/>
                <w:szCs w:val="24"/>
              </w:rPr>
              <w:tab/>
              <w:t>Effective</w:t>
            </w:r>
            <w:r w:rsidRPr="006F4A93">
              <w:rPr>
                <w:rFonts w:ascii="Verdana" w:hAnsi="Verdana"/>
                <w:spacing w:val="-1"/>
                <w:sz w:val="24"/>
                <w:szCs w:val="24"/>
              </w:rPr>
              <w:tab/>
              <w:t>Care;</w:t>
            </w:r>
            <w:r w:rsidRPr="006F4A93">
              <w:rPr>
                <w:rFonts w:ascii="Verdana" w:hAnsi="Verdana"/>
                <w:spacing w:val="-62"/>
                <w:sz w:val="24"/>
                <w:szCs w:val="24"/>
              </w:rPr>
              <w:t xml:space="preserve"> </w:t>
            </w:r>
            <w:r w:rsidRPr="006F4A93">
              <w:rPr>
                <w:rFonts w:ascii="Verdana" w:hAnsi="Verdana"/>
                <w:sz w:val="24"/>
                <w:szCs w:val="24"/>
              </w:rPr>
              <w:t>Dignified</w:t>
            </w:r>
            <w:r w:rsidRPr="006F4A93">
              <w:rPr>
                <w:rFonts w:ascii="Verdana" w:hAnsi="Verdana"/>
                <w:spacing w:val="39"/>
                <w:sz w:val="24"/>
                <w:szCs w:val="24"/>
              </w:rPr>
              <w:t xml:space="preserve"> </w:t>
            </w:r>
            <w:r w:rsidRPr="006F4A93">
              <w:rPr>
                <w:rFonts w:ascii="Verdana" w:hAnsi="Verdana"/>
                <w:sz w:val="24"/>
                <w:szCs w:val="24"/>
              </w:rPr>
              <w:t>Care;</w:t>
            </w:r>
            <w:r w:rsidRPr="006F4A93">
              <w:rPr>
                <w:rFonts w:ascii="Verdana" w:hAnsi="Verdana"/>
                <w:spacing w:val="39"/>
                <w:sz w:val="24"/>
                <w:szCs w:val="24"/>
              </w:rPr>
              <w:t xml:space="preserve"> </w:t>
            </w:r>
            <w:r w:rsidRPr="006F4A93">
              <w:rPr>
                <w:rFonts w:ascii="Verdana" w:hAnsi="Verdana"/>
                <w:sz w:val="24"/>
                <w:szCs w:val="24"/>
              </w:rPr>
              <w:t>Timely</w:t>
            </w:r>
            <w:r w:rsidRPr="006F4A93">
              <w:rPr>
                <w:rFonts w:ascii="Verdana" w:hAnsi="Verdana"/>
                <w:spacing w:val="39"/>
                <w:sz w:val="24"/>
                <w:szCs w:val="24"/>
              </w:rPr>
              <w:t xml:space="preserve"> </w:t>
            </w:r>
            <w:r w:rsidRPr="006F4A93">
              <w:rPr>
                <w:rFonts w:ascii="Verdana" w:hAnsi="Verdana"/>
                <w:sz w:val="24"/>
                <w:szCs w:val="24"/>
              </w:rPr>
              <w:t>Care;</w:t>
            </w:r>
            <w:r w:rsidRPr="006F4A93">
              <w:rPr>
                <w:rFonts w:ascii="Verdana" w:hAnsi="Verdana"/>
                <w:spacing w:val="40"/>
                <w:sz w:val="24"/>
                <w:szCs w:val="24"/>
              </w:rPr>
              <w:t xml:space="preserve"> </w:t>
            </w:r>
            <w:r w:rsidRPr="006F4A93">
              <w:rPr>
                <w:rFonts w:ascii="Verdana" w:hAnsi="Verdana"/>
                <w:sz w:val="24"/>
                <w:szCs w:val="24"/>
              </w:rPr>
              <w:t>Individual</w:t>
            </w:r>
            <w:r w:rsidRPr="006F4A93">
              <w:rPr>
                <w:rFonts w:ascii="Verdana" w:hAnsi="Verdana"/>
                <w:spacing w:val="39"/>
                <w:sz w:val="24"/>
                <w:szCs w:val="24"/>
              </w:rPr>
              <w:t xml:space="preserve"> </w:t>
            </w:r>
            <w:r w:rsidRPr="006F4A93">
              <w:rPr>
                <w:rFonts w:ascii="Verdana" w:hAnsi="Verdana"/>
                <w:sz w:val="24"/>
                <w:szCs w:val="24"/>
              </w:rPr>
              <w:t>Care;</w:t>
            </w:r>
            <w:r w:rsidRPr="006F4A93">
              <w:rPr>
                <w:rFonts w:ascii="Verdana" w:hAnsi="Verdana"/>
                <w:spacing w:val="-75"/>
                <w:sz w:val="24"/>
                <w:szCs w:val="24"/>
              </w:rPr>
              <w:t xml:space="preserve"> </w:t>
            </w:r>
            <w:r w:rsidRPr="006F4A93">
              <w:rPr>
                <w:rFonts w:ascii="Verdana" w:hAnsi="Verdana"/>
                <w:sz w:val="24"/>
                <w:szCs w:val="24"/>
              </w:rPr>
              <w:t>Staff &amp; Resources</w:t>
            </w:r>
            <w:r w:rsidRPr="006F4A93">
              <w:rPr>
                <w:rFonts w:ascii="Verdana" w:hAnsi="Verdana"/>
                <w:spacing w:val="-44"/>
                <w:sz w:val="24"/>
                <w:szCs w:val="24"/>
              </w:rPr>
              <w:t xml:space="preserve"> </w:t>
            </w:r>
            <w:hyperlink r:id="rId10">
              <w:r w:rsidRPr="006F4A93">
                <w:rPr>
                  <w:rFonts w:ascii="Verdana" w:hAnsi="Verdana"/>
                  <w:color w:val="0000FF"/>
                  <w:sz w:val="24"/>
                  <w:szCs w:val="24"/>
                  <w:u w:val="single" w:color="0000FF"/>
                </w:rPr>
                <w:t>http://www.wales.nhs.uk/sitesplus/documents/1</w:t>
              </w:r>
              <w:r w:rsidRPr="006F4A93">
                <w:rPr>
                  <w:rFonts w:ascii="Verdana" w:hAnsi="Verdana"/>
                  <w:color w:val="0000FF"/>
                  <w:spacing w:val="3"/>
                  <w:sz w:val="24"/>
                  <w:szCs w:val="24"/>
                  <w:u w:val="single" w:color="0000FF"/>
                </w:rPr>
                <w:t xml:space="preserve"> </w:t>
              </w:r>
            </w:hyperlink>
            <w:hyperlink r:id="rId11">
              <w:r w:rsidRPr="006F4A93">
                <w:rPr>
                  <w:rFonts w:ascii="Verdana" w:hAnsi="Verdana"/>
                  <w:color w:val="0000FF"/>
                  <w:sz w:val="24"/>
                  <w:szCs w:val="24"/>
                  <w:u w:val="single" w:color="0000FF"/>
                </w:rPr>
                <w:t>064/24729_Health%20Standards%20Framework</w:t>
              </w:r>
            </w:hyperlink>
          </w:p>
          <w:p w:rsidR="00C3165F" w:rsidRPr="006F4A93" w:rsidRDefault="00ED014A" w:rsidP="00095727">
            <w:pPr>
              <w:pStyle w:val="TableParagraph"/>
              <w:spacing w:before="1"/>
              <w:ind w:left="130"/>
              <w:jc w:val="both"/>
              <w:rPr>
                <w:rFonts w:ascii="Verdana" w:eastAsia="Verdana" w:hAnsi="Verdana" w:cs="Verdana"/>
                <w:sz w:val="24"/>
                <w:szCs w:val="24"/>
              </w:rPr>
            </w:pPr>
            <w:hyperlink r:id="rId12">
              <w:r w:rsidR="00C3165F" w:rsidRPr="006F4A93">
                <w:rPr>
                  <w:rFonts w:ascii="Verdana" w:hAnsi="Verdana"/>
                  <w:color w:val="0000FF"/>
                  <w:sz w:val="24"/>
                  <w:szCs w:val="24"/>
                  <w:u w:val="single" w:color="0000FF"/>
                </w:rPr>
                <w:t>_2015_E1.pdf</w:t>
              </w:r>
            </w:hyperlink>
          </w:p>
          <w:p w:rsidR="00C3165F" w:rsidRPr="006F4A93" w:rsidRDefault="00C3165F" w:rsidP="00095727">
            <w:pPr>
              <w:pStyle w:val="TableParagraph"/>
              <w:spacing w:before="4" w:line="244" w:lineRule="auto"/>
              <w:ind w:left="130" w:right="97"/>
              <w:jc w:val="both"/>
              <w:rPr>
                <w:rFonts w:ascii="Verdana" w:eastAsia="Verdana" w:hAnsi="Verdana" w:cs="Verdana"/>
                <w:sz w:val="24"/>
                <w:szCs w:val="24"/>
              </w:rPr>
            </w:pPr>
            <w:r w:rsidRPr="006F4A93">
              <w:rPr>
                <w:rFonts w:ascii="Verdana" w:hAnsi="Verdana"/>
                <w:sz w:val="24"/>
                <w:szCs w:val="24"/>
              </w:rPr>
              <w:t>The</w:t>
            </w:r>
            <w:r w:rsidRPr="006F4A93">
              <w:rPr>
                <w:rFonts w:ascii="Verdana" w:hAnsi="Verdana"/>
                <w:spacing w:val="50"/>
                <w:sz w:val="24"/>
                <w:szCs w:val="24"/>
              </w:rPr>
              <w:t xml:space="preserve"> </w:t>
            </w:r>
            <w:r w:rsidRPr="006F4A93">
              <w:rPr>
                <w:rFonts w:ascii="Verdana" w:hAnsi="Verdana"/>
                <w:sz w:val="24"/>
                <w:szCs w:val="24"/>
              </w:rPr>
              <w:t>work</w:t>
            </w:r>
            <w:r w:rsidRPr="006F4A93">
              <w:rPr>
                <w:rFonts w:ascii="Verdana" w:hAnsi="Verdana"/>
                <w:spacing w:val="49"/>
                <w:sz w:val="24"/>
                <w:szCs w:val="24"/>
              </w:rPr>
              <w:t xml:space="preserve"> </w:t>
            </w:r>
            <w:r w:rsidRPr="006F4A93">
              <w:rPr>
                <w:rFonts w:ascii="Verdana" w:hAnsi="Verdana"/>
                <w:sz w:val="24"/>
                <w:szCs w:val="24"/>
              </w:rPr>
              <w:t>reported</w:t>
            </w:r>
            <w:r w:rsidRPr="006F4A93">
              <w:rPr>
                <w:rFonts w:ascii="Verdana" w:hAnsi="Verdana"/>
                <w:spacing w:val="48"/>
                <w:sz w:val="24"/>
                <w:szCs w:val="24"/>
              </w:rPr>
              <w:t xml:space="preserve"> </w:t>
            </w:r>
            <w:r w:rsidRPr="006F4A93">
              <w:rPr>
                <w:rFonts w:ascii="Verdana" w:hAnsi="Verdana"/>
                <w:sz w:val="24"/>
                <w:szCs w:val="24"/>
              </w:rPr>
              <w:t>in</w:t>
            </w:r>
            <w:r w:rsidRPr="006F4A93">
              <w:rPr>
                <w:rFonts w:ascii="Verdana" w:hAnsi="Verdana"/>
                <w:spacing w:val="48"/>
                <w:sz w:val="24"/>
                <w:szCs w:val="24"/>
              </w:rPr>
              <w:t xml:space="preserve"> </w:t>
            </w:r>
            <w:r w:rsidRPr="006F4A93">
              <w:rPr>
                <w:rFonts w:ascii="Verdana" w:hAnsi="Verdana"/>
                <w:sz w:val="24"/>
                <w:szCs w:val="24"/>
              </w:rPr>
              <w:t>this</w:t>
            </w:r>
            <w:r w:rsidRPr="006F4A93">
              <w:rPr>
                <w:rFonts w:ascii="Verdana" w:hAnsi="Verdana"/>
                <w:spacing w:val="51"/>
                <w:sz w:val="24"/>
                <w:szCs w:val="24"/>
              </w:rPr>
              <w:t xml:space="preserve"> </w:t>
            </w:r>
            <w:r w:rsidRPr="006F4A93">
              <w:rPr>
                <w:rFonts w:ascii="Verdana" w:hAnsi="Verdana"/>
                <w:sz w:val="24"/>
                <w:szCs w:val="24"/>
              </w:rPr>
              <w:t>summary</w:t>
            </w:r>
            <w:r w:rsidRPr="006F4A93">
              <w:rPr>
                <w:rFonts w:ascii="Verdana" w:hAnsi="Verdana"/>
                <w:spacing w:val="51"/>
                <w:sz w:val="24"/>
                <w:szCs w:val="24"/>
              </w:rPr>
              <w:t xml:space="preserve"> </w:t>
            </w:r>
            <w:r w:rsidRPr="006F4A93">
              <w:rPr>
                <w:rFonts w:ascii="Verdana" w:hAnsi="Verdana"/>
                <w:sz w:val="24"/>
                <w:szCs w:val="24"/>
              </w:rPr>
              <w:t>and</w:t>
            </w:r>
            <w:r w:rsidRPr="006F4A93">
              <w:rPr>
                <w:rFonts w:ascii="Verdana" w:hAnsi="Verdana"/>
                <w:spacing w:val="48"/>
                <w:sz w:val="24"/>
                <w:szCs w:val="24"/>
              </w:rPr>
              <w:t xml:space="preserve"> </w:t>
            </w:r>
            <w:r w:rsidRPr="006F4A93">
              <w:rPr>
                <w:rFonts w:ascii="Verdana" w:hAnsi="Verdana"/>
                <w:sz w:val="24"/>
                <w:szCs w:val="24"/>
              </w:rPr>
              <w:t>related</w:t>
            </w:r>
            <w:r w:rsidRPr="006F4A93">
              <w:rPr>
                <w:rFonts w:ascii="Verdana" w:hAnsi="Verdana"/>
                <w:spacing w:val="-76"/>
                <w:sz w:val="24"/>
                <w:szCs w:val="24"/>
              </w:rPr>
              <w:t xml:space="preserve"> </w:t>
            </w:r>
            <w:r w:rsidRPr="006F4A93">
              <w:rPr>
                <w:rFonts w:ascii="Verdana" w:hAnsi="Verdana"/>
                <w:sz w:val="24"/>
                <w:szCs w:val="24"/>
              </w:rPr>
              <w:t>annexes</w:t>
            </w:r>
            <w:r w:rsidRPr="006F4A93">
              <w:rPr>
                <w:rFonts w:ascii="Verdana" w:hAnsi="Verdana"/>
                <w:spacing w:val="59"/>
                <w:sz w:val="24"/>
                <w:szCs w:val="24"/>
              </w:rPr>
              <w:t xml:space="preserve"> </w:t>
            </w:r>
            <w:r w:rsidRPr="006F4A93">
              <w:rPr>
                <w:rFonts w:ascii="Verdana" w:hAnsi="Verdana"/>
                <w:sz w:val="24"/>
                <w:szCs w:val="24"/>
              </w:rPr>
              <w:t>take</w:t>
            </w:r>
            <w:r w:rsidRPr="006F4A93">
              <w:rPr>
                <w:rFonts w:ascii="Verdana" w:hAnsi="Verdana"/>
                <w:spacing w:val="61"/>
                <w:sz w:val="24"/>
                <w:szCs w:val="24"/>
              </w:rPr>
              <w:t xml:space="preserve"> </w:t>
            </w:r>
            <w:r w:rsidRPr="006F4A93">
              <w:rPr>
                <w:rFonts w:ascii="Verdana" w:hAnsi="Verdana"/>
                <w:sz w:val="24"/>
                <w:szCs w:val="24"/>
              </w:rPr>
              <w:t>into</w:t>
            </w:r>
            <w:r w:rsidRPr="006F4A93">
              <w:rPr>
                <w:rFonts w:ascii="Verdana" w:hAnsi="Verdana"/>
                <w:spacing w:val="63"/>
                <w:sz w:val="24"/>
                <w:szCs w:val="24"/>
              </w:rPr>
              <w:t xml:space="preserve"> </w:t>
            </w:r>
            <w:r w:rsidRPr="006F4A93">
              <w:rPr>
                <w:rFonts w:ascii="Verdana" w:hAnsi="Verdana"/>
                <w:sz w:val="24"/>
                <w:szCs w:val="24"/>
              </w:rPr>
              <w:t>account</w:t>
            </w:r>
            <w:r w:rsidRPr="006F4A93">
              <w:rPr>
                <w:rFonts w:ascii="Verdana" w:hAnsi="Verdana"/>
                <w:spacing w:val="58"/>
                <w:sz w:val="24"/>
                <w:szCs w:val="24"/>
              </w:rPr>
              <w:t xml:space="preserve"> </w:t>
            </w:r>
            <w:r w:rsidRPr="006F4A93">
              <w:rPr>
                <w:rFonts w:ascii="Verdana" w:hAnsi="Verdana"/>
                <w:sz w:val="24"/>
                <w:szCs w:val="24"/>
              </w:rPr>
              <w:t>many</w:t>
            </w:r>
            <w:r w:rsidRPr="006F4A93">
              <w:rPr>
                <w:rFonts w:ascii="Verdana" w:hAnsi="Verdana"/>
                <w:spacing w:val="59"/>
                <w:sz w:val="24"/>
                <w:szCs w:val="24"/>
              </w:rPr>
              <w:t xml:space="preserve"> </w:t>
            </w:r>
            <w:r w:rsidRPr="006F4A93">
              <w:rPr>
                <w:rFonts w:ascii="Verdana" w:hAnsi="Verdana"/>
                <w:sz w:val="24"/>
                <w:szCs w:val="24"/>
              </w:rPr>
              <w:t>of</w:t>
            </w:r>
            <w:r w:rsidRPr="006F4A93">
              <w:rPr>
                <w:rFonts w:ascii="Verdana" w:hAnsi="Verdana"/>
                <w:spacing w:val="59"/>
                <w:sz w:val="24"/>
                <w:szCs w:val="24"/>
              </w:rPr>
              <w:t xml:space="preserve"> </w:t>
            </w:r>
            <w:r w:rsidRPr="006F4A93">
              <w:rPr>
                <w:rFonts w:ascii="Verdana" w:hAnsi="Verdana"/>
                <w:sz w:val="24"/>
                <w:szCs w:val="24"/>
              </w:rPr>
              <w:t>the</w:t>
            </w:r>
            <w:r w:rsidRPr="006F4A93">
              <w:rPr>
                <w:rFonts w:ascii="Verdana" w:hAnsi="Verdana"/>
                <w:spacing w:val="61"/>
                <w:sz w:val="24"/>
                <w:szCs w:val="24"/>
              </w:rPr>
              <w:t xml:space="preserve"> </w:t>
            </w:r>
            <w:r w:rsidRPr="006F4A93">
              <w:rPr>
                <w:rFonts w:ascii="Verdana" w:hAnsi="Verdana"/>
                <w:sz w:val="24"/>
                <w:szCs w:val="24"/>
              </w:rPr>
              <w:t>related</w:t>
            </w:r>
            <w:r w:rsidRPr="006F4A93">
              <w:rPr>
                <w:rFonts w:ascii="Verdana" w:hAnsi="Verdana"/>
                <w:spacing w:val="-76"/>
                <w:sz w:val="24"/>
                <w:szCs w:val="24"/>
              </w:rPr>
              <w:t xml:space="preserve"> </w:t>
            </w:r>
            <w:r w:rsidRPr="006F4A93">
              <w:rPr>
                <w:rFonts w:ascii="Verdana" w:hAnsi="Verdana"/>
                <w:sz w:val="24"/>
                <w:szCs w:val="24"/>
              </w:rPr>
              <w:t>quality themes in particular timely</w:t>
            </w:r>
            <w:r w:rsidRPr="006F4A93">
              <w:rPr>
                <w:rFonts w:ascii="Verdana" w:hAnsi="Verdana"/>
                <w:spacing w:val="74"/>
                <w:sz w:val="24"/>
                <w:szCs w:val="24"/>
              </w:rPr>
              <w:t xml:space="preserve"> </w:t>
            </w:r>
            <w:r w:rsidRPr="006F4A93">
              <w:rPr>
                <w:rFonts w:ascii="Verdana" w:hAnsi="Verdana"/>
                <w:sz w:val="24"/>
                <w:szCs w:val="24"/>
              </w:rPr>
              <w:t>care.</w:t>
            </w:r>
          </w:p>
        </w:tc>
      </w:tr>
      <w:tr w:rsidR="00C3165F" w:rsidRPr="006F4A93" w:rsidTr="00095727">
        <w:trPr>
          <w:trHeight w:hRule="exact" w:val="713"/>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Workforce</w:t>
            </w:r>
          </w:p>
        </w:tc>
        <w:tc>
          <w:tcPr>
            <w:tcW w:w="6780" w:type="dxa"/>
            <w:gridSpan w:val="5"/>
            <w:tcBorders>
              <w:top w:val="single" w:sz="4" w:space="0" w:color="000000"/>
              <w:left w:val="single" w:sz="4" w:space="0" w:color="000000"/>
              <w:bottom w:val="single" w:sz="4" w:space="0" w:color="000000"/>
              <w:right w:val="single" w:sz="4" w:space="0" w:color="000000"/>
            </w:tcBorders>
          </w:tcPr>
          <w:p w:rsidR="00C3165F" w:rsidRPr="006F4A93" w:rsidRDefault="00B25B45" w:rsidP="00D723FB">
            <w:pPr>
              <w:pStyle w:val="TableParagraph"/>
              <w:spacing w:before="3"/>
              <w:ind w:left="130"/>
              <w:rPr>
                <w:rFonts w:ascii="Verdana" w:eastAsia="Verdana" w:hAnsi="Verdana" w:cs="Verdana"/>
                <w:sz w:val="24"/>
                <w:szCs w:val="24"/>
              </w:rPr>
            </w:pPr>
            <w:r>
              <w:rPr>
                <w:rFonts w:ascii="Verdana" w:hAnsi="Verdana"/>
                <w:sz w:val="24"/>
                <w:szCs w:val="24"/>
              </w:rPr>
              <w:t xml:space="preserve">All workforce implications are contained within the framework </w:t>
            </w:r>
          </w:p>
        </w:tc>
      </w:tr>
      <w:tr w:rsidR="00C3165F" w:rsidRPr="007612B1" w:rsidTr="00095727">
        <w:trPr>
          <w:trHeight w:hRule="exact" w:val="805"/>
        </w:trPr>
        <w:tc>
          <w:tcPr>
            <w:tcW w:w="3133"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line="244" w:lineRule="auto"/>
              <w:ind w:left="96" w:right="386"/>
              <w:rPr>
                <w:rFonts w:ascii="Verdana" w:eastAsia="Verdana" w:hAnsi="Verdana" w:cs="Verdana"/>
                <w:sz w:val="24"/>
                <w:szCs w:val="24"/>
              </w:rPr>
            </w:pPr>
            <w:r w:rsidRPr="006F4A93">
              <w:rPr>
                <w:rFonts w:ascii="Verdana" w:hAnsi="Verdana"/>
                <w:b/>
                <w:sz w:val="24"/>
                <w:szCs w:val="24"/>
              </w:rPr>
              <w:t>Freedom of</w:t>
            </w:r>
            <w:r w:rsidRPr="006F4A93">
              <w:rPr>
                <w:rFonts w:ascii="Verdana" w:hAnsi="Verdana"/>
                <w:b/>
                <w:spacing w:val="-53"/>
                <w:sz w:val="24"/>
                <w:szCs w:val="24"/>
              </w:rPr>
              <w:t xml:space="preserve"> </w:t>
            </w:r>
            <w:r w:rsidRPr="006F4A93">
              <w:rPr>
                <w:rFonts w:ascii="Verdana" w:hAnsi="Verdana"/>
                <w:b/>
                <w:sz w:val="24"/>
                <w:szCs w:val="24"/>
              </w:rPr>
              <w:t>information</w:t>
            </w:r>
            <w:r w:rsidRPr="006F4A93">
              <w:rPr>
                <w:rFonts w:ascii="Verdana" w:hAnsi="Verdana"/>
                <w:b/>
                <w:spacing w:val="35"/>
                <w:sz w:val="24"/>
                <w:szCs w:val="24"/>
              </w:rPr>
              <w:t xml:space="preserve"> </w:t>
            </w:r>
            <w:r w:rsidRPr="006F4A93">
              <w:rPr>
                <w:rFonts w:ascii="Verdana" w:hAnsi="Verdana"/>
                <w:b/>
                <w:sz w:val="24"/>
                <w:szCs w:val="24"/>
              </w:rPr>
              <w:t>status</w:t>
            </w:r>
          </w:p>
        </w:tc>
        <w:tc>
          <w:tcPr>
            <w:tcW w:w="6780" w:type="dxa"/>
            <w:gridSpan w:val="5"/>
            <w:tcBorders>
              <w:top w:val="single" w:sz="4" w:space="0" w:color="000000"/>
              <w:left w:val="single" w:sz="4" w:space="0" w:color="000000"/>
              <w:bottom w:val="single" w:sz="4" w:space="0" w:color="000000"/>
              <w:right w:val="single" w:sz="4" w:space="0" w:color="000000"/>
            </w:tcBorders>
          </w:tcPr>
          <w:p w:rsidR="00C3165F" w:rsidRPr="007612B1" w:rsidRDefault="00C3165F" w:rsidP="00D723FB">
            <w:pPr>
              <w:pStyle w:val="TableParagraph"/>
              <w:spacing w:before="3"/>
              <w:ind w:left="130"/>
              <w:rPr>
                <w:rFonts w:ascii="Verdana" w:eastAsia="Verdana" w:hAnsi="Verdana" w:cs="Verdana"/>
                <w:sz w:val="24"/>
                <w:szCs w:val="24"/>
              </w:rPr>
            </w:pPr>
            <w:r w:rsidRPr="006F4A93">
              <w:rPr>
                <w:rFonts w:ascii="Verdana" w:hAnsi="Verdana"/>
                <w:sz w:val="24"/>
                <w:szCs w:val="24"/>
              </w:rPr>
              <w:t>Open</w:t>
            </w:r>
          </w:p>
        </w:tc>
      </w:tr>
    </w:tbl>
    <w:p w:rsidR="00C3165F" w:rsidRDefault="00C3165F"/>
    <w:p w:rsidR="00C3165F" w:rsidRDefault="00C3165F"/>
    <w:p w:rsidR="002B4F38" w:rsidRDefault="002B4F38"/>
    <w:p w:rsidR="00ED72B1" w:rsidRDefault="00ED72B1"/>
    <w:p w:rsidR="00ED72B1" w:rsidRDefault="00ED72B1"/>
    <w:p w:rsidR="00ED72B1" w:rsidRDefault="00ED72B1"/>
    <w:p w:rsidR="00ED72B1" w:rsidRDefault="00ED72B1" w:rsidP="00C3165F">
      <w:pPr>
        <w:spacing w:before="64" w:line="242" w:lineRule="auto"/>
        <w:ind w:left="1714" w:right="757" w:hanging="317"/>
        <w:jc w:val="center"/>
        <w:rPr>
          <w:rFonts w:ascii="Verdana" w:hAnsi="Verdana"/>
          <w:b/>
          <w:sz w:val="24"/>
        </w:rPr>
      </w:pPr>
    </w:p>
    <w:p w:rsidR="00095727" w:rsidRDefault="00095727">
      <w:pPr>
        <w:rPr>
          <w:rFonts w:ascii="Verdana" w:hAnsi="Verdana"/>
          <w:b/>
          <w:sz w:val="24"/>
        </w:rPr>
      </w:pPr>
      <w:r>
        <w:rPr>
          <w:rFonts w:ascii="Verdana" w:hAnsi="Verdana"/>
          <w:b/>
          <w:sz w:val="24"/>
        </w:rPr>
        <w:br w:type="page"/>
      </w:r>
    </w:p>
    <w:p w:rsidR="00C3165F" w:rsidRDefault="00ED72B1" w:rsidP="00C3165F">
      <w:pPr>
        <w:spacing w:before="64" w:line="242" w:lineRule="auto"/>
        <w:ind w:left="1714" w:right="757" w:hanging="317"/>
        <w:jc w:val="center"/>
        <w:rPr>
          <w:rFonts w:ascii="Verdana" w:hAnsi="Verdana"/>
          <w:b/>
          <w:sz w:val="24"/>
        </w:rPr>
      </w:pPr>
      <w:r>
        <w:rPr>
          <w:rFonts w:ascii="Verdana" w:hAnsi="Verdana"/>
          <w:b/>
          <w:sz w:val="24"/>
        </w:rPr>
        <w:lastRenderedPageBreak/>
        <w:t>AMBULANCE QUALITY INDICATORS</w:t>
      </w:r>
    </w:p>
    <w:p w:rsidR="00ED72B1" w:rsidRPr="007612B1" w:rsidRDefault="00ED72B1" w:rsidP="00C3165F">
      <w:pPr>
        <w:spacing w:before="64" w:line="242" w:lineRule="auto"/>
        <w:ind w:left="1714" w:right="757" w:hanging="317"/>
        <w:jc w:val="center"/>
        <w:rPr>
          <w:rFonts w:ascii="Verdana" w:eastAsia="Verdana" w:hAnsi="Verdana" w:cs="Verdana"/>
          <w:sz w:val="24"/>
        </w:rPr>
      </w:pPr>
      <w:r>
        <w:rPr>
          <w:rFonts w:ascii="Verdana" w:hAnsi="Verdana"/>
          <w:b/>
          <w:sz w:val="24"/>
        </w:rPr>
        <w:t>01 July 2019 – 30 September 2019</w:t>
      </w:r>
    </w:p>
    <w:p w:rsidR="00C3165F" w:rsidRPr="007612B1" w:rsidRDefault="00C3165F" w:rsidP="00C3165F">
      <w:pPr>
        <w:pStyle w:val="Footer"/>
        <w:tabs>
          <w:tab w:val="clear" w:pos="8306"/>
          <w:tab w:val="right" w:pos="9000"/>
        </w:tabs>
        <w:jc w:val="both"/>
        <w:rPr>
          <w:rFonts w:ascii="Verdana" w:hAnsi="Verdana" w:cs="Arial"/>
          <w:b/>
          <w:sz w:val="24"/>
        </w:rPr>
      </w:pPr>
    </w:p>
    <w:p w:rsidR="00C3165F" w:rsidRPr="007612B1" w:rsidRDefault="00C3165F" w:rsidP="00C3165F">
      <w:pPr>
        <w:pStyle w:val="Footer"/>
        <w:tabs>
          <w:tab w:val="clear" w:pos="4153"/>
          <w:tab w:val="clear" w:pos="8306"/>
          <w:tab w:val="center" w:pos="720"/>
          <w:tab w:val="right" w:pos="9000"/>
        </w:tabs>
        <w:jc w:val="both"/>
        <w:rPr>
          <w:rFonts w:ascii="Verdana" w:hAnsi="Verdana"/>
          <w:b/>
          <w:sz w:val="24"/>
        </w:rPr>
      </w:pPr>
      <w:r w:rsidRPr="007612B1">
        <w:rPr>
          <w:rFonts w:ascii="Verdana" w:hAnsi="Verdana"/>
          <w:b/>
          <w:sz w:val="24"/>
        </w:rPr>
        <w:t>1.</w:t>
      </w:r>
      <w:r w:rsidRPr="007612B1">
        <w:rPr>
          <w:rFonts w:ascii="Verdana" w:hAnsi="Verdana"/>
          <w:b/>
          <w:sz w:val="24"/>
        </w:rPr>
        <w:tab/>
        <w:t xml:space="preserve">   </w:t>
      </w:r>
      <w:r w:rsidRPr="007612B1">
        <w:rPr>
          <w:rFonts w:ascii="Verdana" w:hAnsi="Verdana"/>
          <w:b/>
          <w:sz w:val="24"/>
          <w:bdr w:val="single" w:sz="4" w:space="0" w:color="auto"/>
        </w:rPr>
        <w:t>S</w:t>
      </w:r>
      <w:r w:rsidRPr="007612B1">
        <w:rPr>
          <w:rFonts w:ascii="Verdana" w:hAnsi="Verdana"/>
          <w:b/>
          <w:sz w:val="24"/>
        </w:rPr>
        <w:t>ITUATION / PURPOSE OF REPORT</w:t>
      </w:r>
    </w:p>
    <w:p w:rsidR="00C3165F" w:rsidRPr="007612B1" w:rsidRDefault="00C3165F" w:rsidP="00C3165F">
      <w:pPr>
        <w:pStyle w:val="Footer"/>
        <w:tabs>
          <w:tab w:val="clear" w:pos="8306"/>
          <w:tab w:val="right" w:pos="9000"/>
        </w:tabs>
        <w:jc w:val="both"/>
        <w:rPr>
          <w:rFonts w:ascii="Verdana" w:hAnsi="Verdana" w:cs="Arial"/>
          <w:sz w:val="24"/>
        </w:rPr>
      </w:pPr>
    </w:p>
    <w:p w:rsidR="00ED72B1" w:rsidRDefault="00ED72B1" w:rsidP="00ED72B1">
      <w:pPr>
        <w:jc w:val="both"/>
        <w:rPr>
          <w:rFonts w:ascii="Verdana" w:hAnsi="Verdana" w:cs="Arial"/>
          <w:color w:val="000000"/>
          <w:sz w:val="24"/>
        </w:rPr>
      </w:pPr>
      <w:r w:rsidRPr="00ED72B1">
        <w:rPr>
          <w:rFonts w:ascii="Verdana" w:hAnsi="Verdana" w:cs="Arial"/>
          <w:color w:val="000000"/>
          <w:sz w:val="24"/>
        </w:rPr>
        <w:t xml:space="preserve">The purpose of the report is to provide an overview of the most recent quarter data which was published on Wednesday </w:t>
      </w:r>
      <w:r>
        <w:rPr>
          <w:rFonts w:ascii="Verdana" w:hAnsi="Verdana" w:cs="Arial"/>
          <w:color w:val="000000"/>
          <w:sz w:val="24"/>
        </w:rPr>
        <w:t>30 October</w:t>
      </w:r>
      <w:r w:rsidRPr="00ED72B1">
        <w:rPr>
          <w:rFonts w:ascii="Verdana" w:hAnsi="Verdana" w:cs="Arial"/>
          <w:color w:val="000000"/>
          <w:sz w:val="24"/>
        </w:rPr>
        <w:t xml:space="preserve"> 2019.    </w:t>
      </w:r>
    </w:p>
    <w:p w:rsidR="00ED72B1" w:rsidRDefault="00ED72B1" w:rsidP="00ED72B1">
      <w:pPr>
        <w:jc w:val="both"/>
        <w:rPr>
          <w:rFonts w:ascii="Verdana" w:hAnsi="Verdana" w:cs="Arial"/>
          <w:color w:val="000000"/>
          <w:sz w:val="24"/>
        </w:rPr>
      </w:pPr>
    </w:p>
    <w:p w:rsidR="00ED72B1" w:rsidRPr="00ED72B1" w:rsidRDefault="00ED72B1" w:rsidP="00ED72B1">
      <w:pPr>
        <w:jc w:val="both"/>
        <w:rPr>
          <w:rFonts w:ascii="Verdana" w:hAnsi="Verdana" w:cs="Arial"/>
          <w:color w:val="000000"/>
          <w:sz w:val="24"/>
        </w:rPr>
      </w:pPr>
      <w:r w:rsidRPr="00ED72B1">
        <w:rPr>
          <w:rFonts w:ascii="Verdana" w:hAnsi="Verdana" w:cs="Arial"/>
          <w:color w:val="000000"/>
          <w:sz w:val="24"/>
        </w:rPr>
        <w:t xml:space="preserve">This report should be read in conjunction with the public release of the Ambulance Quality Indicators attached as </w:t>
      </w:r>
      <w:r w:rsidRPr="00095727">
        <w:rPr>
          <w:rFonts w:ascii="Verdana" w:hAnsi="Verdana" w:cs="Arial"/>
          <w:b/>
          <w:color w:val="000000"/>
          <w:sz w:val="24"/>
        </w:rPr>
        <w:t>Appendix 1</w:t>
      </w:r>
      <w:r w:rsidRPr="00ED72B1">
        <w:rPr>
          <w:rFonts w:ascii="Verdana" w:hAnsi="Verdana" w:cs="Arial"/>
          <w:color w:val="000000"/>
          <w:sz w:val="24"/>
        </w:rPr>
        <w:t xml:space="preserve">. These Indicators are for the period: 01 </w:t>
      </w:r>
      <w:r>
        <w:rPr>
          <w:rFonts w:ascii="Verdana" w:hAnsi="Verdana" w:cs="Arial"/>
          <w:color w:val="000000"/>
          <w:sz w:val="24"/>
        </w:rPr>
        <w:t>July</w:t>
      </w:r>
      <w:r w:rsidRPr="00ED72B1">
        <w:rPr>
          <w:rFonts w:ascii="Verdana" w:hAnsi="Verdana" w:cs="Arial"/>
          <w:color w:val="000000"/>
          <w:sz w:val="24"/>
        </w:rPr>
        <w:t xml:space="preserve"> 2019 to 30 </w:t>
      </w:r>
      <w:r>
        <w:rPr>
          <w:rFonts w:ascii="Verdana" w:hAnsi="Verdana" w:cs="Arial"/>
          <w:color w:val="000000"/>
          <w:sz w:val="24"/>
        </w:rPr>
        <w:t>September</w:t>
      </w:r>
      <w:r w:rsidRPr="00ED72B1">
        <w:rPr>
          <w:rFonts w:ascii="Verdana" w:hAnsi="Verdana" w:cs="Arial"/>
          <w:color w:val="000000"/>
          <w:sz w:val="24"/>
        </w:rPr>
        <w:t xml:space="preserve"> 2019 and the narrative below describes performance across the 5 Step Ambulance Care Pathway </w:t>
      </w:r>
    </w:p>
    <w:p w:rsidR="00ED72B1" w:rsidRPr="00345A59" w:rsidRDefault="00ED72B1" w:rsidP="00C3165F">
      <w:pPr>
        <w:autoSpaceDE w:val="0"/>
        <w:autoSpaceDN w:val="0"/>
        <w:adjustRightInd w:val="0"/>
        <w:jc w:val="both"/>
        <w:rPr>
          <w:rFonts w:ascii="Verdana" w:hAnsi="Verdana" w:cs="Arial"/>
          <w:color w:val="000000"/>
          <w:sz w:val="24"/>
        </w:rPr>
      </w:pPr>
    </w:p>
    <w:p w:rsidR="00C3165F" w:rsidRPr="007612B1" w:rsidRDefault="00C3165F" w:rsidP="00C3165F">
      <w:pPr>
        <w:pStyle w:val="Heading8"/>
        <w:spacing w:before="0" w:after="0"/>
        <w:jc w:val="both"/>
        <w:rPr>
          <w:rFonts w:ascii="Verdana" w:hAnsi="Verdana" w:cs="Arial"/>
          <w:b/>
          <w:i w:val="0"/>
        </w:rPr>
      </w:pPr>
      <w:r w:rsidRPr="007612B1">
        <w:rPr>
          <w:rFonts w:ascii="Verdana" w:hAnsi="Verdana"/>
          <w:b/>
          <w:i w:val="0"/>
          <w:iCs w:val="0"/>
        </w:rPr>
        <w:t xml:space="preserve">2.  </w:t>
      </w:r>
      <w:r w:rsidRPr="007612B1">
        <w:rPr>
          <w:rFonts w:ascii="Verdana" w:hAnsi="Verdana" w:cs="Arial"/>
          <w:b/>
          <w:i w:val="0"/>
          <w:bdr w:val="single" w:sz="4" w:space="0" w:color="auto"/>
        </w:rPr>
        <w:t>B</w:t>
      </w:r>
      <w:r w:rsidRPr="007612B1">
        <w:rPr>
          <w:rFonts w:ascii="Verdana" w:hAnsi="Verdana" w:cs="Arial"/>
          <w:b/>
          <w:i w:val="0"/>
        </w:rPr>
        <w:t xml:space="preserve">ACKGROUND / INTRODUCTION </w:t>
      </w:r>
    </w:p>
    <w:p w:rsidR="00C3165F" w:rsidRDefault="00C3165F" w:rsidP="00C3165F">
      <w:pPr>
        <w:pStyle w:val="Footer"/>
        <w:tabs>
          <w:tab w:val="clear" w:pos="8306"/>
          <w:tab w:val="right" w:pos="9000"/>
        </w:tabs>
        <w:jc w:val="both"/>
        <w:rPr>
          <w:rFonts w:ascii="Verdana" w:hAnsi="Verdana" w:cs="Arial"/>
          <w:sz w:val="24"/>
        </w:rPr>
      </w:pPr>
    </w:p>
    <w:p w:rsidR="00ED72B1" w:rsidRDefault="00ED72B1" w:rsidP="00095727">
      <w:pPr>
        <w:jc w:val="both"/>
        <w:rPr>
          <w:rFonts w:ascii="Verdana" w:hAnsi="Verdana" w:cs="Arial"/>
          <w:sz w:val="24"/>
        </w:rPr>
      </w:pPr>
      <w:r w:rsidRPr="00ED72B1">
        <w:rPr>
          <w:rFonts w:ascii="Verdana" w:hAnsi="Verdana" w:cs="Arial"/>
          <w:sz w:val="24"/>
        </w:rPr>
        <w:t xml:space="preserve">Members of the Committee will be aware that the Ambulance Quality Indicators were developed to monitor and improve performance across the 5 </w:t>
      </w:r>
      <w:r>
        <w:rPr>
          <w:rFonts w:ascii="Verdana" w:hAnsi="Verdana" w:cs="Arial"/>
          <w:sz w:val="24"/>
        </w:rPr>
        <w:t xml:space="preserve">Step Ambulance Care Pathway. </w:t>
      </w:r>
    </w:p>
    <w:p w:rsidR="00ED72B1" w:rsidRDefault="00ED72B1" w:rsidP="00095727">
      <w:pPr>
        <w:jc w:val="both"/>
        <w:rPr>
          <w:rFonts w:ascii="Verdana" w:hAnsi="Verdana" w:cs="Arial"/>
          <w:sz w:val="24"/>
        </w:rPr>
      </w:pPr>
    </w:p>
    <w:p w:rsidR="00ED72B1" w:rsidRPr="00ED72B1" w:rsidRDefault="00ED72B1" w:rsidP="00095727">
      <w:pPr>
        <w:jc w:val="both"/>
        <w:rPr>
          <w:rFonts w:ascii="Verdana" w:hAnsi="Verdana" w:cs="Arial"/>
          <w:sz w:val="24"/>
        </w:rPr>
      </w:pPr>
      <w:r w:rsidRPr="00ED72B1">
        <w:rPr>
          <w:rFonts w:ascii="Verdana" w:hAnsi="Verdana" w:cs="Arial"/>
          <w:sz w:val="24"/>
        </w:rPr>
        <w:t xml:space="preserve">The Ambulance Care Pathway is designed to ensure that ambulances are dispatched to calls where there is an immediate need to save life or provide treatment which requires an ambulance. For other less serious cases, alternative treatments such as referrals to other parts of the NHS or telephone advice will be provided. The pathway is intended to ensure the ambulance service is providing the right response for a patient dependent on their clinical need. </w:t>
      </w:r>
    </w:p>
    <w:p w:rsidR="00A61DD9" w:rsidRDefault="00A61DD9" w:rsidP="008249BC">
      <w:pPr>
        <w:rPr>
          <w:rFonts w:ascii="Verdana" w:hAnsi="Verdana"/>
          <w:sz w:val="24"/>
          <w:lang w:val="en-US" w:eastAsia="en-US"/>
        </w:rPr>
      </w:pPr>
    </w:p>
    <w:p w:rsidR="00C3165F" w:rsidRPr="007612B1" w:rsidRDefault="000500B5" w:rsidP="008249BC">
      <w:pPr>
        <w:rPr>
          <w:rFonts w:ascii="Verdana" w:hAnsi="Verdana"/>
          <w:b/>
          <w:sz w:val="24"/>
        </w:rPr>
      </w:pPr>
      <w:r>
        <w:rPr>
          <w:rFonts w:ascii="Verdana" w:hAnsi="Verdana"/>
          <w:sz w:val="24"/>
          <w:lang w:val="en-US" w:eastAsia="en-US"/>
        </w:rPr>
        <w:t xml:space="preserve"> </w:t>
      </w:r>
      <w:r w:rsidR="00C3165F" w:rsidRPr="007612B1">
        <w:rPr>
          <w:rFonts w:ascii="Verdana" w:hAnsi="Verdana"/>
          <w:b/>
          <w:iCs/>
          <w:sz w:val="24"/>
        </w:rPr>
        <w:t xml:space="preserve">3.   </w:t>
      </w:r>
      <w:r w:rsidR="00C3165F" w:rsidRPr="007612B1">
        <w:rPr>
          <w:rFonts w:ascii="Verdana" w:hAnsi="Verdana"/>
          <w:b/>
          <w:sz w:val="24"/>
          <w:bdr w:val="single" w:sz="4" w:space="0" w:color="auto"/>
        </w:rPr>
        <w:t>A</w:t>
      </w:r>
      <w:r w:rsidR="00C3165F" w:rsidRPr="007612B1">
        <w:rPr>
          <w:rFonts w:ascii="Verdana" w:hAnsi="Verdana"/>
          <w:b/>
          <w:sz w:val="24"/>
        </w:rPr>
        <w:t>SSESSMENT / GOVERNANCE AND RISK ISSUES</w:t>
      </w:r>
    </w:p>
    <w:p w:rsidR="00C3165F" w:rsidRPr="007612B1" w:rsidRDefault="00C3165F" w:rsidP="00C3165F">
      <w:pPr>
        <w:jc w:val="both"/>
        <w:outlineLvl w:val="0"/>
        <w:rPr>
          <w:rFonts w:ascii="Verdana" w:hAnsi="Verdana" w:cs="Tahoma"/>
          <w:sz w:val="24"/>
        </w:rPr>
      </w:pPr>
    </w:p>
    <w:p w:rsidR="00ED72B1" w:rsidRDefault="00ED72B1" w:rsidP="00ED72B1">
      <w:pPr>
        <w:jc w:val="both"/>
        <w:rPr>
          <w:rFonts w:ascii="Verdana" w:hAnsi="Verdana" w:cs="Tahoma"/>
          <w:b/>
          <w:sz w:val="24"/>
        </w:rPr>
      </w:pPr>
      <w:r w:rsidRPr="00ED72B1">
        <w:rPr>
          <w:rFonts w:ascii="Verdana" w:hAnsi="Verdana" w:cs="Tahoma"/>
          <w:b/>
          <w:sz w:val="24"/>
        </w:rPr>
        <w:t>Step One – Help Me Choose</w:t>
      </w:r>
    </w:p>
    <w:p w:rsidR="00095727" w:rsidRPr="00ED72B1" w:rsidRDefault="00095727" w:rsidP="00ED72B1">
      <w:pPr>
        <w:jc w:val="both"/>
        <w:rPr>
          <w:rFonts w:ascii="Verdana" w:hAnsi="Verdana" w:cs="Tahoma"/>
          <w:b/>
          <w:sz w:val="24"/>
        </w:rPr>
      </w:pPr>
    </w:p>
    <w:p w:rsidR="00ED72B1" w:rsidRPr="00ED72B1" w:rsidRDefault="00ED72B1" w:rsidP="00ED72B1">
      <w:pPr>
        <w:pStyle w:val="ListParagraph"/>
        <w:numPr>
          <w:ilvl w:val="0"/>
          <w:numId w:val="28"/>
        </w:numPr>
        <w:jc w:val="both"/>
        <w:rPr>
          <w:rFonts w:cs="Tahoma"/>
          <w:sz w:val="24"/>
        </w:rPr>
      </w:pPr>
      <w:r>
        <w:rPr>
          <w:rFonts w:cs="Tahoma"/>
          <w:sz w:val="24"/>
        </w:rPr>
        <w:t>The Welsh Ambulance Service NHS Trust (</w:t>
      </w:r>
      <w:r w:rsidRPr="00ED72B1">
        <w:rPr>
          <w:rFonts w:cs="Tahoma"/>
          <w:sz w:val="24"/>
        </w:rPr>
        <w:t>WAST</w:t>
      </w:r>
      <w:r>
        <w:rPr>
          <w:rFonts w:cs="Tahoma"/>
          <w:sz w:val="24"/>
        </w:rPr>
        <w:t>)</w:t>
      </w:r>
      <w:r w:rsidRPr="00ED72B1">
        <w:rPr>
          <w:rFonts w:cs="Tahoma"/>
          <w:sz w:val="24"/>
        </w:rPr>
        <w:t xml:space="preserve"> organised 71 community engagement meetings across Wales between 01 July 2019 to 30 September 2019.</w:t>
      </w:r>
    </w:p>
    <w:p w:rsidR="00ED72B1" w:rsidRPr="00ED72B1" w:rsidRDefault="00ED72B1" w:rsidP="00ED72B1">
      <w:pPr>
        <w:pStyle w:val="ListParagraph"/>
        <w:numPr>
          <w:ilvl w:val="0"/>
          <w:numId w:val="28"/>
        </w:numPr>
        <w:jc w:val="both"/>
        <w:rPr>
          <w:rFonts w:cs="Tahoma"/>
          <w:sz w:val="24"/>
        </w:rPr>
      </w:pPr>
      <w:r w:rsidRPr="00ED72B1">
        <w:rPr>
          <w:rFonts w:cs="Tahoma"/>
          <w:sz w:val="24"/>
        </w:rPr>
        <w:t>Community engagement events help WAST listen to the concerns and ideas of people in Wales and communicate information with people in Wales about self-care, choice and appropriate use of the Welsh Ambulance Service and the wider NHS.</w:t>
      </w:r>
    </w:p>
    <w:p w:rsidR="00ED72B1" w:rsidRPr="00ED72B1" w:rsidRDefault="00ED72B1" w:rsidP="00ED72B1">
      <w:pPr>
        <w:pStyle w:val="ListParagraph"/>
        <w:numPr>
          <w:ilvl w:val="0"/>
          <w:numId w:val="28"/>
        </w:numPr>
        <w:jc w:val="both"/>
        <w:rPr>
          <w:rFonts w:cs="Tahoma"/>
          <w:sz w:val="24"/>
        </w:rPr>
      </w:pPr>
      <w:r w:rsidRPr="00ED72B1">
        <w:rPr>
          <w:rFonts w:cs="Tahoma"/>
          <w:sz w:val="24"/>
        </w:rPr>
        <w:t>In the period 01 July 2019 to 30 September 2019 there were 1,260,065 visits to the NHS Direct Wales website.</w:t>
      </w:r>
    </w:p>
    <w:p w:rsidR="00ED72B1" w:rsidRPr="00ED72B1" w:rsidRDefault="00ED72B1" w:rsidP="00ED72B1">
      <w:pPr>
        <w:pStyle w:val="ListParagraph"/>
        <w:numPr>
          <w:ilvl w:val="0"/>
          <w:numId w:val="28"/>
        </w:numPr>
        <w:jc w:val="both"/>
        <w:rPr>
          <w:rFonts w:cs="Tahoma"/>
          <w:sz w:val="24"/>
        </w:rPr>
      </w:pPr>
      <w:r w:rsidRPr="00ED72B1">
        <w:rPr>
          <w:rFonts w:cs="Tahoma"/>
          <w:sz w:val="24"/>
        </w:rPr>
        <w:t>Measuring the number of visits to the NHS Direct Wales website helps identify periods of high demand and examine links to call volumes to both NHS Direct Wales and the Clinical Contact Centres.</w:t>
      </w:r>
    </w:p>
    <w:p w:rsidR="00ED72B1" w:rsidRPr="00ED72B1" w:rsidRDefault="00ED72B1" w:rsidP="00ED72B1">
      <w:pPr>
        <w:pStyle w:val="ListParagraph"/>
        <w:numPr>
          <w:ilvl w:val="0"/>
          <w:numId w:val="28"/>
        </w:numPr>
        <w:jc w:val="both"/>
        <w:rPr>
          <w:rFonts w:cs="Tahoma"/>
          <w:sz w:val="24"/>
        </w:rPr>
      </w:pPr>
      <w:r w:rsidRPr="00ED72B1">
        <w:rPr>
          <w:rFonts w:cs="Tahoma"/>
          <w:sz w:val="24"/>
        </w:rPr>
        <w:t>Dental problems are the top reason for the public to call NHS Direct Wales. There were 11,610 calls to NHS Direct Wales about dental problems between 01 July 2019 to 30 September 2019.</w:t>
      </w:r>
    </w:p>
    <w:p w:rsidR="00ED72B1" w:rsidRPr="00ED72B1" w:rsidRDefault="00ED72B1" w:rsidP="00ED72B1">
      <w:pPr>
        <w:pStyle w:val="ListParagraph"/>
        <w:numPr>
          <w:ilvl w:val="0"/>
          <w:numId w:val="28"/>
        </w:numPr>
        <w:jc w:val="both"/>
        <w:rPr>
          <w:rFonts w:cs="Tahoma"/>
          <w:sz w:val="24"/>
        </w:rPr>
      </w:pPr>
      <w:r w:rsidRPr="00ED72B1">
        <w:rPr>
          <w:rFonts w:cs="Tahoma"/>
          <w:sz w:val="24"/>
        </w:rPr>
        <w:t>Identifying the top 10 reasons for calling NHS Direct Wales helps identify the topics for advice that NHS Direct Wales needs to be able to provide. It also allows Health Boards to develop services where there is an unmet need.</w:t>
      </w:r>
    </w:p>
    <w:p w:rsidR="00ED72B1" w:rsidRPr="00ED72B1" w:rsidRDefault="00ED72B1" w:rsidP="00ED72B1">
      <w:pPr>
        <w:pStyle w:val="ListParagraph"/>
        <w:numPr>
          <w:ilvl w:val="0"/>
          <w:numId w:val="28"/>
        </w:numPr>
        <w:jc w:val="both"/>
        <w:rPr>
          <w:rFonts w:cs="Tahoma"/>
          <w:sz w:val="24"/>
        </w:rPr>
      </w:pPr>
      <w:r w:rsidRPr="00ED72B1">
        <w:rPr>
          <w:rFonts w:cs="Tahoma"/>
          <w:sz w:val="24"/>
        </w:rPr>
        <w:lastRenderedPageBreak/>
        <w:t>Frequent callers are defined as people who call WAST via the 999 system five times or more in a month. 7,978 incidents were generated by frequent callers in the period 01 July 2019 to 30 September 2019.</w:t>
      </w:r>
    </w:p>
    <w:p w:rsidR="00ED72B1" w:rsidRDefault="00ED72B1" w:rsidP="00ED72B1">
      <w:pPr>
        <w:pStyle w:val="ListParagraph"/>
        <w:numPr>
          <w:ilvl w:val="0"/>
          <w:numId w:val="28"/>
        </w:numPr>
        <w:jc w:val="both"/>
        <w:rPr>
          <w:rFonts w:cs="Tahoma"/>
          <w:sz w:val="24"/>
        </w:rPr>
      </w:pPr>
      <w:r w:rsidRPr="00ED72B1">
        <w:rPr>
          <w:rFonts w:cs="Tahoma"/>
          <w:sz w:val="24"/>
        </w:rPr>
        <w:t>Identifying frequent callers helps WAST manage the needs of this group of callers, many of whom are vulnerable adults who have an unmet need. Simply sending ambulances to these patients does not necessarily mean they get the help they need. Frequent caller patient needs are managed via multi-disciplinary teams including primary, secondary care and clinical managers in the Health Boards and WAST. This may involve WAST referring a patient to a GP service or a specialist team such as a mental health service.</w:t>
      </w:r>
    </w:p>
    <w:p w:rsidR="00ED72B1" w:rsidRPr="00ED72B1" w:rsidRDefault="00ED72B1" w:rsidP="00ED72B1">
      <w:pPr>
        <w:pStyle w:val="ListParagraph"/>
        <w:jc w:val="both"/>
        <w:rPr>
          <w:rFonts w:cs="Tahoma"/>
          <w:sz w:val="24"/>
        </w:rPr>
      </w:pPr>
    </w:p>
    <w:p w:rsidR="00ED72B1" w:rsidRDefault="00ED72B1" w:rsidP="00ED72B1">
      <w:pPr>
        <w:jc w:val="both"/>
        <w:rPr>
          <w:rFonts w:ascii="Verdana" w:hAnsi="Verdana" w:cs="Tahoma"/>
          <w:b/>
          <w:sz w:val="24"/>
        </w:rPr>
      </w:pPr>
      <w:r w:rsidRPr="00ED72B1">
        <w:rPr>
          <w:rFonts w:ascii="Verdana" w:hAnsi="Verdana" w:cs="Tahoma"/>
          <w:b/>
          <w:sz w:val="24"/>
        </w:rPr>
        <w:t>Step Two – Answer My Call</w:t>
      </w:r>
    </w:p>
    <w:p w:rsidR="00095727" w:rsidRDefault="00095727" w:rsidP="00ED72B1">
      <w:pPr>
        <w:jc w:val="both"/>
        <w:rPr>
          <w:rFonts w:ascii="Verdana" w:hAnsi="Verdana" w:cs="Tahoma"/>
          <w:b/>
          <w:sz w:val="24"/>
        </w:rPr>
      </w:pPr>
    </w:p>
    <w:p w:rsidR="00ED72B1" w:rsidRPr="00ED72B1" w:rsidRDefault="00ED72B1" w:rsidP="00ED72B1">
      <w:pPr>
        <w:pStyle w:val="ListParagraph"/>
        <w:numPr>
          <w:ilvl w:val="0"/>
          <w:numId w:val="29"/>
        </w:numPr>
        <w:jc w:val="both"/>
        <w:rPr>
          <w:rFonts w:cs="Tahoma"/>
          <w:sz w:val="24"/>
        </w:rPr>
      </w:pPr>
      <w:r w:rsidRPr="00ED72B1">
        <w:rPr>
          <w:rFonts w:cs="Tahoma"/>
          <w:sz w:val="24"/>
        </w:rPr>
        <w:t>There were 20,343 calls for an urgent (1-4 hour) admission from health care professionals between 01 July 2019 to 30 September 2019.</w:t>
      </w:r>
    </w:p>
    <w:p w:rsidR="00ED72B1" w:rsidRPr="00ED72B1" w:rsidRDefault="00ED72B1" w:rsidP="00ED72B1">
      <w:pPr>
        <w:pStyle w:val="ListParagraph"/>
        <w:numPr>
          <w:ilvl w:val="0"/>
          <w:numId w:val="29"/>
        </w:numPr>
        <w:jc w:val="both"/>
        <w:rPr>
          <w:rFonts w:cs="Tahoma"/>
          <w:sz w:val="24"/>
        </w:rPr>
      </w:pPr>
      <w:r w:rsidRPr="00ED72B1">
        <w:rPr>
          <w:rFonts w:cs="Tahoma"/>
          <w:sz w:val="24"/>
        </w:rPr>
        <w:t>A health care professional is defined as: a Doctor usually a General Practitioner, Paramedic, Nurse, Midwife, Dentist or Approved Social Worker. Measuring the number of calls from healthcare professionals helps WAST plan and develop strategies to manage the needs of these patients.</w:t>
      </w:r>
    </w:p>
    <w:p w:rsidR="00ED72B1" w:rsidRPr="00ED72B1" w:rsidRDefault="00ED72B1" w:rsidP="00ED72B1">
      <w:pPr>
        <w:pStyle w:val="ListParagraph"/>
        <w:numPr>
          <w:ilvl w:val="0"/>
          <w:numId w:val="29"/>
        </w:numPr>
        <w:jc w:val="both"/>
        <w:rPr>
          <w:rFonts w:cs="Tahoma"/>
          <w:sz w:val="24"/>
        </w:rPr>
      </w:pPr>
      <w:r w:rsidRPr="00ED72B1">
        <w:rPr>
          <w:rFonts w:cs="Tahoma"/>
          <w:sz w:val="24"/>
        </w:rPr>
        <w:t xml:space="preserve">128,325 - 999 calls were answered between 01 July 2019 to 30 September 2019. </w:t>
      </w:r>
    </w:p>
    <w:p w:rsidR="00ED72B1" w:rsidRPr="00ED72B1" w:rsidRDefault="00ED72B1" w:rsidP="00ED72B1">
      <w:pPr>
        <w:pStyle w:val="ListParagraph"/>
        <w:numPr>
          <w:ilvl w:val="0"/>
          <w:numId w:val="29"/>
        </w:numPr>
        <w:jc w:val="both"/>
        <w:rPr>
          <w:rFonts w:cs="Tahoma"/>
          <w:sz w:val="24"/>
        </w:rPr>
      </w:pPr>
      <w:r w:rsidRPr="00ED72B1">
        <w:rPr>
          <w:rFonts w:cs="Tahoma"/>
          <w:sz w:val="24"/>
        </w:rPr>
        <w:t>119,374 calls were taken through the medical priority dispatch system, a system that WAST uses to assess the severity of 999 calls.</w:t>
      </w:r>
    </w:p>
    <w:p w:rsidR="00ED72B1" w:rsidRPr="00ED72B1" w:rsidRDefault="00ED72B1" w:rsidP="00ED72B1">
      <w:pPr>
        <w:pStyle w:val="ListParagraph"/>
        <w:numPr>
          <w:ilvl w:val="0"/>
          <w:numId w:val="29"/>
        </w:numPr>
        <w:jc w:val="both"/>
        <w:rPr>
          <w:rFonts w:cs="Tahoma"/>
          <w:sz w:val="24"/>
        </w:rPr>
      </w:pPr>
      <w:r w:rsidRPr="00ED72B1">
        <w:rPr>
          <w:rFonts w:cs="Tahoma"/>
          <w:sz w:val="24"/>
        </w:rPr>
        <w:t>14,235 of these calls were regarding falls and 12,324 of these call were regarding chest pain and 12,076 were regarding breathing problem between 01 April 2019 and 30 June 2019.</w:t>
      </w:r>
    </w:p>
    <w:p w:rsidR="00ED72B1" w:rsidRPr="00ED72B1" w:rsidRDefault="00ED72B1" w:rsidP="00ED72B1">
      <w:pPr>
        <w:pStyle w:val="ListParagraph"/>
        <w:numPr>
          <w:ilvl w:val="0"/>
          <w:numId w:val="29"/>
        </w:numPr>
        <w:jc w:val="both"/>
        <w:rPr>
          <w:rFonts w:cs="Tahoma"/>
          <w:sz w:val="24"/>
        </w:rPr>
      </w:pPr>
      <w:r w:rsidRPr="00ED72B1">
        <w:rPr>
          <w:rFonts w:cs="Tahoma"/>
          <w:sz w:val="24"/>
        </w:rPr>
        <w:t>10,026 calls were ended following WAST telephone assessment; ‘Hear and Treat’.</w:t>
      </w:r>
    </w:p>
    <w:p w:rsidR="00ED72B1" w:rsidRPr="00ED72B1" w:rsidRDefault="00ED72B1" w:rsidP="00ED72B1">
      <w:pPr>
        <w:pStyle w:val="ListParagraph"/>
        <w:numPr>
          <w:ilvl w:val="0"/>
          <w:numId w:val="29"/>
        </w:numPr>
        <w:jc w:val="both"/>
        <w:rPr>
          <w:rFonts w:cs="Tahoma"/>
          <w:sz w:val="24"/>
        </w:rPr>
      </w:pPr>
      <w:r w:rsidRPr="00ED72B1">
        <w:rPr>
          <w:rFonts w:cs="Tahoma"/>
          <w:sz w:val="24"/>
        </w:rPr>
        <w:t>‘Hear and Treat’ is the telephone clinical advice that callers who do not have serious or life threatening conditions receive from WAST. This may mean an ambulance response will not necessarily be sent immediately. Instead, patients may be given more appropriate healthcare advice based on what they tell the clinician over the phone. They may receive advice on how to care for themselves or where they might go to receive appropriate assistance, for example a GP or a Pharmacy. They may also be advised to make their own way to hospital where this is safe or be provided with alternative transport rather than an ambulance.</w:t>
      </w:r>
    </w:p>
    <w:p w:rsidR="00ED72B1" w:rsidRPr="00ED72B1" w:rsidRDefault="00ED72B1" w:rsidP="00ED72B1">
      <w:pPr>
        <w:pStyle w:val="ListParagraph"/>
        <w:numPr>
          <w:ilvl w:val="0"/>
          <w:numId w:val="29"/>
        </w:numPr>
        <w:jc w:val="both"/>
        <w:rPr>
          <w:rFonts w:cs="Tahoma"/>
          <w:sz w:val="24"/>
        </w:rPr>
      </w:pPr>
      <w:r w:rsidRPr="00ED72B1">
        <w:rPr>
          <w:rFonts w:cs="Tahoma"/>
          <w:sz w:val="24"/>
        </w:rPr>
        <w:t>Re-contact rates measure the number of patients who dial 999 after receiving telephone advice (‘hear and treat’) services or after being treated at the scene (‘see and treat’); this may be for an unexpected or new problem within the following 24 hours. To ensure WAST is providing safe and effective care, first time, this indicator measures how many patients call WAST back within 24 hours of the initial call being made.</w:t>
      </w:r>
    </w:p>
    <w:p w:rsidR="00ED72B1" w:rsidRPr="00ED72B1" w:rsidRDefault="00ED72B1" w:rsidP="00ED72B1">
      <w:pPr>
        <w:pStyle w:val="ListParagraph"/>
        <w:numPr>
          <w:ilvl w:val="0"/>
          <w:numId w:val="29"/>
        </w:numPr>
        <w:jc w:val="both"/>
        <w:rPr>
          <w:rFonts w:cs="Tahoma"/>
          <w:sz w:val="24"/>
        </w:rPr>
      </w:pPr>
      <w:r w:rsidRPr="00ED72B1">
        <w:rPr>
          <w:rFonts w:cs="Tahoma"/>
          <w:sz w:val="24"/>
        </w:rPr>
        <w:t>Of the 10,026 calls ended following ‘hear and treat’ there were 783 re-contacts within 24 hours between 01 July 2019 to 30 September 2019.</w:t>
      </w:r>
    </w:p>
    <w:p w:rsidR="00ED72B1" w:rsidRDefault="00ED72B1" w:rsidP="00ED72B1">
      <w:pPr>
        <w:pStyle w:val="ListParagraph"/>
        <w:numPr>
          <w:ilvl w:val="0"/>
          <w:numId w:val="29"/>
        </w:numPr>
        <w:jc w:val="both"/>
        <w:rPr>
          <w:rFonts w:cs="Tahoma"/>
          <w:sz w:val="24"/>
        </w:rPr>
      </w:pPr>
      <w:r w:rsidRPr="00ED72B1">
        <w:rPr>
          <w:rFonts w:cs="Tahoma"/>
          <w:sz w:val="24"/>
        </w:rPr>
        <w:t>Of the 8,683 treated at scene (‘see and treat’) there were 71 re-contacts within 24 hours.</w:t>
      </w:r>
    </w:p>
    <w:p w:rsidR="00ED72B1" w:rsidRDefault="00ED72B1" w:rsidP="00ED72B1">
      <w:pPr>
        <w:pStyle w:val="ListParagraph"/>
        <w:jc w:val="both"/>
        <w:rPr>
          <w:rFonts w:cs="Tahoma"/>
          <w:sz w:val="24"/>
        </w:rPr>
      </w:pPr>
    </w:p>
    <w:p w:rsidR="00095727" w:rsidRPr="00ED72B1" w:rsidRDefault="00095727" w:rsidP="00ED72B1">
      <w:pPr>
        <w:pStyle w:val="ListParagraph"/>
        <w:jc w:val="both"/>
        <w:rPr>
          <w:rFonts w:cs="Tahoma"/>
          <w:sz w:val="24"/>
        </w:rPr>
      </w:pPr>
    </w:p>
    <w:p w:rsidR="00ED72B1" w:rsidRPr="00ED72B1" w:rsidRDefault="00ED72B1" w:rsidP="00ED72B1">
      <w:pPr>
        <w:jc w:val="both"/>
        <w:rPr>
          <w:rFonts w:ascii="Verdana" w:hAnsi="Verdana" w:cs="Tahoma"/>
          <w:b/>
          <w:sz w:val="24"/>
        </w:rPr>
      </w:pPr>
      <w:r w:rsidRPr="00ED72B1">
        <w:rPr>
          <w:rFonts w:ascii="Verdana" w:hAnsi="Verdana" w:cs="Tahoma"/>
          <w:b/>
          <w:sz w:val="24"/>
        </w:rPr>
        <w:lastRenderedPageBreak/>
        <w:t>Step Three – Come to See Me</w:t>
      </w:r>
    </w:p>
    <w:p w:rsidR="00ED72B1" w:rsidRPr="00ED72B1" w:rsidRDefault="00ED72B1" w:rsidP="00ED72B1">
      <w:pPr>
        <w:jc w:val="both"/>
        <w:rPr>
          <w:rFonts w:ascii="Verdana" w:hAnsi="Verdana" w:cs="Tahoma"/>
          <w:sz w:val="24"/>
        </w:rPr>
      </w:pPr>
    </w:p>
    <w:p w:rsidR="00ED72B1" w:rsidRPr="00ED72B1" w:rsidRDefault="00ED72B1" w:rsidP="00ED72B1">
      <w:pPr>
        <w:pStyle w:val="ListParagraph"/>
        <w:numPr>
          <w:ilvl w:val="0"/>
          <w:numId w:val="30"/>
        </w:numPr>
        <w:jc w:val="both"/>
        <w:rPr>
          <w:rFonts w:cs="Tahoma"/>
          <w:sz w:val="24"/>
        </w:rPr>
      </w:pPr>
      <w:r w:rsidRPr="00ED72B1">
        <w:rPr>
          <w:rFonts w:cs="Tahoma"/>
          <w:sz w:val="24"/>
        </w:rPr>
        <w:t>There were 6,876 RED calls between 01 July 2019 to 30 September 2019.</w:t>
      </w:r>
    </w:p>
    <w:p w:rsidR="00ED72B1" w:rsidRPr="00ED72B1" w:rsidRDefault="00ED72B1" w:rsidP="00ED72B1">
      <w:pPr>
        <w:pStyle w:val="ListParagraph"/>
        <w:numPr>
          <w:ilvl w:val="0"/>
          <w:numId w:val="30"/>
        </w:numPr>
        <w:jc w:val="both"/>
        <w:rPr>
          <w:rFonts w:cs="Tahoma"/>
          <w:sz w:val="24"/>
        </w:rPr>
      </w:pPr>
      <w:r w:rsidRPr="00ED72B1">
        <w:rPr>
          <w:rFonts w:cs="Tahoma"/>
          <w:sz w:val="24"/>
        </w:rPr>
        <w:t>The Wales national target for a response arriving to RED calls in 8 minutes is 65%. At an all Wales level this target was met for each month this quarter. The target for each Health Board area is 60% and this was also met across each month this quarter, with the e</w:t>
      </w:r>
      <w:r w:rsidR="00095727">
        <w:rPr>
          <w:rFonts w:cs="Tahoma"/>
          <w:sz w:val="24"/>
        </w:rPr>
        <w:t>xception of September when Powy</w:t>
      </w:r>
      <w:r w:rsidRPr="00ED72B1">
        <w:rPr>
          <w:rFonts w:cs="Tahoma"/>
          <w:sz w:val="24"/>
        </w:rPr>
        <w:t>s performance was 58.6%.</w:t>
      </w:r>
    </w:p>
    <w:p w:rsidR="00ED72B1" w:rsidRPr="00ED72B1" w:rsidRDefault="00ED72B1" w:rsidP="00ED72B1">
      <w:pPr>
        <w:pStyle w:val="ListParagraph"/>
        <w:numPr>
          <w:ilvl w:val="0"/>
          <w:numId w:val="30"/>
        </w:numPr>
        <w:jc w:val="both"/>
        <w:rPr>
          <w:rFonts w:cs="Tahoma"/>
          <w:sz w:val="24"/>
        </w:rPr>
      </w:pPr>
      <w:r w:rsidRPr="00ED72B1">
        <w:rPr>
          <w:rFonts w:cs="Tahoma"/>
          <w:sz w:val="24"/>
        </w:rPr>
        <w:t>RED calls are immediately life threatening so it is important to measure not just how WAST performs against the Wales national target, but the distribution of performance.</w:t>
      </w:r>
    </w:p>
    <w:p w:rsidR="00ED72B1" w:rsidRPr="00ED72B1" w:rsidRDefault="00ED72B1" w:rsidP="00ED72B1">
      <w:pPr>
        <w:pStyle w:val="ListParagraph"/>
        <w:numPr>
          <w:ilvl w:val="0"/>
          <w:numId w:val="30"/>
        </w:numPr>
        <w:jc w:val="both"/>
        <w:rPr>
          <w:rFonts w:cs="Tahoma"/>
          <w:sz w:val="24"/>
        </w:rPr>
      </w:pPr>
      <w:r w:rsidRPr="00ED72B1">
        <w:rPr>
          <w:rFonts w:cs="Tahoma"/>
          <w:sz w:val="24"/>
        </w:rPr>
        <w:t>The median RED response time in September 2019 was 5 minutes and 47 seconds. 65% of Red calls were responded to within 7 minutes and 46 seconds and 95% of calls were responded to within 16 minutes and 1 seconds.</w:t>
      </w:r>
    </w:p>
    <w:p w:rsidR="00ED72B1" w:rsidRPr="00ED72B1" w:rsidRDefault="00ED72B1" w:rsidP="00ED72B1">
      <w:pPr>
        <w:pStyle w:val="ListParagraph"/>
        <w:numPr>
          <w:ilvl w:val="0"/>
          <w:numId w:val="30"/>
        </w:numPr>
        <w:jc w:val="both"/>
        <w:rPr>
          <w:rFonts w:cs="Tahoma"/>
          <w:sz w:val="24"/>
        </w:rPr>
      </w:pPr>
      <w:r w:rsidRPr="00ED72B1">
        <w:rPr>
          <w:rFonts w:cs="Tahoma"/>
          <w:sz w:val="24"/>
        </w:rPr>
        <w:t>There were 65,282 AMBER calls between 01 July 2019 to 30 September 2019.</w:t>
      </w:r>
    </w:p>
    <w:p w:rsidR="00ED72B1" w:rsidRPr="00ED72B1" w:rsidRDefault="00ED72B1" w:rsidP="00ED72B1">
      <w:pPr>
        <w:pStyle w:val="ListParagraph"/>
        <w:numPr>
          <w:ilvl w:val="0"/>
          <w:numId w:val="30"/>
        </w:numPr>
        <w:jc w:val="both"/>
        <w:rPr>
          <w:rFonts w:cs="Tahoma"/>
          <w:sz w:val="24"/>
        </w:rPr>
      </w:pPr>
      <w:r w:rsidRPr="00ED72B1">
        <w:rPr>
          <w:rFonts w:cs="Tahoma"/>
          <w:sz w:val="24"/>
        </w:rPr>
        <w:t>AMBER calls are serious, but not immediately life threatening. AMBER calls are measured by the standard of care provided by WAST.</w:t>
      </w:r>
    </w:p>
    <w:p w:rsidR="00ED72B1" w:rsidRPr="00ED72B1" w:rsidRDefault="00ED72B1" w:rsidP="00ED72B1">
      <w:pPr>
        <w:pStyle w:val="ListParagraph"/>
        <w:numPr>
          <w:ilvl w:val="0"/>
          <w:numId w:val="30"/>
        </w:numPr>
        <w:jc w:val="both"/>
        <w:rPr>
          <w:rFonts w:cs="Tahoma"/>
          <w:sz w:val="24"/>
        </w:rPr>
      </w:pPr>
      <w:r w:rsidRPr="00ED72B1">
        <w:rPr>
          <w:rFonts w:cs="Tahoma"/>
          <w:sz w:val="24"/>
        </w:rPr>
        <w:t>There were 6,340 GREEN calls between 01 July 2019 to 30 September 2019.</w:t>
      </w:r>
    </w:p>
    <w:p w:rsidR="00ED72B1" w:rsidRPr="00ED72B1" w:rsidRDefault="00ED72B1" w:rsidP="00ED72B1">
      <w:pPr>
        <w:pStyle w:val="ListParagraph"/>
        <w:numPr>
          <w:ilvl w:val="0"/>
          <w:numId w:val="30"/>
        </w:numPr>
        <w:jc w:val="both"/>
        <w:rPr>
          <w:rFonts w:cs="Tahoma"/>
          <w:sz w:val="24"/>
        </w:rPr>
      </w:pPr>
      <w:r w:rsidRPr="00ED72B1">
        <w:rPr>
          <w:rFonts w:cs="Tahoma"/>
          <w:sz w:val="24"/>
        </w:rPr>
        <w:t>GREEN calls are 999 calls received that are considered neither serious or life threatening.</w:t>
      </w:r>
    </w:p>
    <w:p w:rsidR="00ED72B1" w:rsidRPr="00ED72B1" w:rsidRDefault="00ED72B1" w:rsidP="00ED72B1">
      <w:pPr>
        <w:pStyle w:val="ListParagraph"/>
        <w:numPr>
          <w:ilvl w:val="0"/>
          <w:numId w:val="30"/>
        </w:numPr>
        <w:jc w:val="both"/>
        <w:rPr>
          <w:rFonts w:cs="Tahoma"/>
          <w:sz w:val="24"/>
        </w:rPr>
      </w:pPr>
      <w:r w:rsidRPr="00ED72B1">
        <w:rPr>
          <w:rFonts w:cs="Tahoma"/>
          <w:sz w:val="24"/>
        </w:rPr>
        <w:t>It is important to make the best use of available ambulance resources and to measure the number of resources that are allocated to an incident. There are occasions when it is appropriate for more than one ambulance to be allocated, for example, a multiple response to a very serious call where there is an immediate threat to life (categorised as RED) or multi-casualty incidents such as road traffic collisions.</w:t>
      </w:r>
    </w:p>
    <w:p w:rsidR="00ED72B1" w:rsidRPr="00ED72B1" w:rsidRDefault="00ED72B1" w:rsidP="00ED72B1">
      <w:pPr>
        <w:pStyle w:val="ListParagraph"/>
        <w:numPr>
          <w:ilvl w:val="0"/>
          <w:numId w:val="30"/>
        </w:numPr>
        <w:jc w:val="both"/>
        <w:rPr>
          <w:rFonts w:cs="Tahoma"/>
          <w:sz w:val="24"/>
        </w:rPr>
      </w:pPr>
      <w:r w:rsidRPr="00ED72B1">
        <w:rPr>
          <w:rFonts w:cs="Tahoma"/>
          <w:sz w:val="24"/>
        </w:rPr>
        <w:t>In September 2019 for incidents that would normally only require one resource; one resource was allocated to 78.3% of incidents, two resources to 19.0% of incidents, 3 resources to 2.3% of incidents and 4 resources to 0.4% of incidents.</w:t>
      </w:r>
    </w:p>
    <w:p w:rsidR="00ED72B1" w:rsidRPr="00ED72B1" w:rsidRDefault="00ED72B1" w:rsidP="00ED72B1">
      <w:pPr>
        <w:pStyle w:val="ListParagraph"/>
        <w:numPr>
          <w:ilvl w:val="0"/>
          <w:numId w:val="30"/>
        </w:numPr>
        <w:jc w:val="both"/>
        <w:rPr>
          <w:rFonts w:cs="Tahoma"/>
          <w:sz w:val="24"/>
        </w:rPr>
      </w:pPr>
      <w:r w:rsidRPr="00ED72B1">
        <w:rPr>
          <w:rFonts w:cs="Tahoma"/>
          <w:sz w:val="24"/>
        </w:rPr>
        <w:t>Community First Responders are volunteers trained by WAST who are sent to certain incidents to provide immediate care before the arrival of an ambulance. These volunteers are vital to saving lives across Wales.</w:t>
      </w:r>
    </w:p>
    <w:p w:rsidR="00ED72B1" w:rsidRDefault="00ED72B1" w:rsidP="00ED72B1">
      <w:pPr>
        <w:pStyle w:val="ListParagraph"/>
        <w:numPr>
          <w:ilvl w:val="0"/>
          <w:numId w:val="30"/>
        </w:numPr>
        <w:jc w:val="both"/>
        <w:rPr>
          <w:rFonts w:cs="Tahoma"/>
          <w:sz w:val="24"/>
        </w:rPr>
      </w:pPr>
      <w:r w:rsidRPr="00ED72B1">
        <w:rPr>
          <w:rFonts w:cs="Tahoma"/>
          <w:sz w:val="24"/>
        </w:rPr>
        <w:t>Community First Responders attended 4,962 incidents between 01 July 2019 to 30 September 2019. They were first on scene in 4,280 of these incidents (86.3%).</w:t>
      </w:r>
    </w:p>
    <w:p w:rsidR="00ED72B1" w:rsidRPr="00ED72B1" w:rsidRDefault="00ED72B1" w:rsidP="00ED72B1">
      <w:pPr>
        <w:pStyle w:val="ListParagraph"/>
        <w:jc w:val="both"/>
        <w:rPr>
          <w:rFonts w:cs="Tahoma"/>
          <w:sz w:val="24"/>
        </w:rPr>
      </w:pPr>
    </w:p>
    <w:p w:rsidR="00ED72B1" w:rsidRPr="00ED72B1" w:rsidRDefault="00ED72B1" w:rsidP="00ED72B1">
      <w:pPr>
        <w:jc w:val="both"/>
        <w:rPr>
          <w:rFonts w:ascii="Verdana" w:hAnsi="Verdana" w:cs="Tahoma"/>
          <w:b/>
          <w:sz w:val="24"/>
        </w:rPr>
      </w:pPr>
      <w:r w:rsidRPr="00ED72B1">
        <w:rPr>
          <w:rFonts w:ascii="Verdana" w:hAnsi="Verdana" w:cs="Tahoma"/>
          <w:b/>
          <w:sz w:val="24"/>
        </w:rPr>
        <w:t>Step Four – Give Me Treatment</w:t>
      </w:r>
    </w:p>
    <w:p w:rsidR="00ED72B1" w:rsidRPr="00ED72B1" w:rsidRDefault="00ED72B1" w:rsidP="00ED72B1">
      <w:pPr>
        <w:jc w:val="both"/>
        <w:rPr>
          <w:rFonts w:ascii="Verdana" w:hAnsi="Verdana" w:cs="Tahoma"/>
          <w:sz w:val="24"/>
        </w:rPr>
      </w:pPr>
    </w:p>
    <w:p w:rsidR="00095727" w:rsidRDefault="00ED72B1" w:rsidP="00ED72B1">
      <w:pPr>
        <w:pStyle w:val="ListParagraph"/>
        <w:numPr>
          <w:ilvl w:val="0"/>
          <w:numId w:val="31"/>
        </w:numPr>
        <w:jc w:val="both"/>
        <w:rPr>
          <w:rFonts w:cs="Tahoma"/>
          <w:sz w:val="24"/>
        </w:rPr>
      </w:pPr>
      <w:r w:rsidRPr="00ED72B1">
        <w:rPr>
          <w:rFonts w:cs="Tahoma"/>
          <w:sz w:val="24"/>
        </w:rPr>
        <w:t xml:space="preserve">Treatment given by ambulance clinicians before a patient reaches hospital is a major factor in their chances of survival and recovery. Ambulance clinicians use packages of care, assessment and treatment known as care bundles for certain conditions. Care bundles are a series of assessments, treatments and actions that are clinically recognised to improve a patient’s outcome and experience. </w:t>
      </w:r>
    </w:p>
    <w:p w:rsidR="00ED72B1" w:rsidRPr="00ED72B1" w:rsidRDefault="00ED72B1" w:rsidP="00095727">
      <w:pPr>
        <w:pStyle w:val="ListParagraph"/>
        <w:jc w:val="both"/>
        <w:rPr>
          <w:rFonts w:cs="Tahoma"/>
          <w:sz w:val="24"/>
        </w:rPr>
      </w:pPr>
      <w:r w:rsidRPr="00ED72B1">
        <w:rPr>
          <w:rFonts w:cs="Tahoma"/>
          <w:sz w:val="24"/>
        </w:rPr>
        <w:lastRenderedPageBreak/>
        <w:t>This information is gained from clinical patient records completed by staff using their digital pens. In this release we have highlighted the performance against seven key clinical indicators for Cardiac Arrests, Strokes, Heart Attacks (called STEMI), fractured hips (known as neck of femur injuries), febrile convulsion, sepsis and hypoglycaemia.</w:t>
      </w:r>
    </w:p>
    <w:p w:rsidR="00ED72B1" w:rsidRPr="00ED72B1" w:rsidRDefault="00ED72B1" w:rsidP="00ED72B1">
      <w:pPr>
        <w:pStyle w:val="ListParagraph"/>
        <w:numPr>
          <w:ilvl w:val="0"/>
          <w:numId w:val="31"/>
        </w:numPr>
        <w:jc w:val="both"/>
        <w:rPr>
          <w:rFonts w:cs="Tahoma"/>
          <w:sz w:val="24"/>
        </w:rPr>
      </w:pPr>
      <w:r w:rsidRPr="00ED72B1">
        <w:rPr>
          <w:rFonts w:cs="Tahoma"/>
          <w:sz w:val="24"/>
        </w:rPr>
        <w:t>Cardiac arrest (no pulse and not breathing): this indicator measures how many patients who are in cardiac arrest, but are successfully resuscitated at the scene by WAST and have a pulse/ heartbeat on arrival at hospital. It is recognised that providing resuscitation as early as possible to those in cardiac arrest is key to improving the chances of recovery.</w:t>
      </w:r>
    </w:p>
    <w:p w:rsidR="00ED72B1" w:rsidRPr="00ED72B1" w:rsidRDefault="00ED72B1" w:rsidP="00ED72B1">
      <w:pPr>
        <w:pStyle w:val="ListParagraph"/>
        <w:numPr>
          <w:ilvl w:val="0"/>
          <w:numId w:val="31"/>
        </w:numPr>
        <w:jc w:val="both"/>
        <w:rPr>
          <w:rFonts w:cs="Tahoma"/>
          <w:sz w:val="24"/>
        </w:rPr>
      </w:pPr>
      <w:r w:rsidRPr="00ED72B1">
        <w:rPr>
          <w:rFonts w:cs="Tahoma"/>
          <w:sz w:val="24"/>
        </w:rPr>
        <w:t>Stroke: a stroke happens when the supply of blood to the brain is suddenly interrupted. This indicator measures the number and percentage of suspected stroke patients assessed face to face who received all of the elements of the stroke care bundle. The measures include a F.A.S.T (Face Arm Speech Test) assessment, the recording of blood glucose and blood pressure readings.</w:t>
      </w:r>
    </w:p>
    <w:p w:rsidR="00ED72B1" w:rsidRPr="00ED72B1" w:rsidRDefault="00ED72B1" w:rsidP="00ED72B1">
      <w:pPr>
        <w:pStyle w:val="ListParagraph"/>
        <w:numPr>
          <w:ilvl w:val="0"/>
          <w:numId w:val="31"/>
        </w:numPr>
        <w:jc w:val="both"/>
        <w:rPr>
          <w:rFonts w:cs="Tahoma"/>
          <w:sz w:val="24"/>
        </w:rPr>
      </w:pPr>
      <w:r w:rsidRPr="00ED72B1">
        <w:rPr>
          <w:rFonts w:cs="Tahoma"/>
          <w:sz w:val="24"/>
        </w:rPr>
        <w:t>Fractured hips (known as neck of femur injuries): fractured hips cause significant pain which can be exacerbated by movement. Pain control for patients with a fractured neck of femur in the immediate post-trauma period is paramount to promoting recovery and patient experience. This reduces suffering and the detrimental effects uncontrolled pain may have. This indicator measures the recording of initial and subsequent verbal pain scores and administration of appropriate pain medicines before arrival at hospital.</w:t>
      </w:r>
    </w:p>
    <w:p w:rsidR="00ED72B1" w:rsidRPr="00ED72B1" w:rsidRDefault="00ED72B1" w:rsidP="00ED72B1">
      <w:pPr>
        <w:pStyle w:val="ListParagraph"/>
        <w:numPr>
          <w:ilvl w:val="0"/>
          <w:numId w:val="31"/>
        </w:numPr>
        <w:jc w:val="both"/>
        <w:rPr>
          <w:rFonts w:cs="Tahoma"/>
          <w:sz w:val="24"/>
        </w:rPr>
      </w:pPr>
      <w:r w:rsidRPr="00ED72B1">
        <w:rPr>
          <w:rFonts w:cs="Tahoma"/>
          <w:sz w:val="24"/>
        </w:rPr>
        <w:t>STEMI: STEMI is a type of heart attack caused by a blood clot in the heart which is diagnosed by an electrocardiogram taken by the ambulance crew. The care bundle includes taking verbal pain scores from the patient, administering aspirin to reduce blood clotting, Glyceryl Trinitrate to relax and widen blood vessels and the provision of pain relief.</w:t>
      </w:r>
    </w:p>
    <w:p w:rsidR="00ED72B1" w:rsidRPr="00ED72B1" w:rsidRDefault="00ED72B1" w:rsidP="00ED72B1">
      <w:pPr>
        <w:pStyle w:val="ListParagraph"/>
        <w:numPr>
          <w:ilvl w:val="0"/>
          <w:numId w:val="31"/>
        </w:numPr>
        <w:jc w:val="both"/>
        <w:rPr>
          <w:rFonts w:cs="Tahoma"/>
          <w:sz w:val="24"/>
        </w:rPr>
      </w:pPr>
      <w:r w:rsidRPr="00ED72B1">
        <w:rPr>
          <w:rFonts w:cs="Tahoma"/>
          <w:sz w:val="24"/>
        </w:rPr>
        <w:t>Sepsis: Sepsis, also referred to as blood poisoning or septicaemia, is a potentially life-threatening condition, triggered by an infection. This indicator records patients with a suspected diagnosis of sepsis or septic shock who have been reviewed using a screening tool (NEWS) and have a documented score. This promotes early recognition of suspected sepsis and enhances handover in hospital.</w:t>
      </w:r>
    </w:p>
    <w:p w:rsidR="00ED72B1" w:rsidRPr="00ED72B1" w:rsidRDefault="00ED72B1" w:rsidP="00ED72B1">
      <w:pPr>
        <w:pStyle w:val="ListParagraph"/>
        <w:numPr>
          <w:ilvl w:val="0"/>
          <w:numId w:val="31"/>
        </w:numPr>
        <w:jc w:val="both"/>
        <w:rPr>
          <w:rFonts w:cs="Tahoma"/>
          <w:sz w:val="24"/>
        </w:rPr>
      </w:pPr>
      <w:r w:rsidRPr="00ED72B1">
        <w:rPr>
          <w:rFonts w:cs="Tahoma"/>
          <w:sz w:val="24"/>
        </w:rPr>
        <w:t>Febrile convulsion: is a seizure that can happen when a child has a fever. This indicator measures patients under 5 with suspected febrile convulsion who are documented as receiving the appropriate care bundle comprising of the measurement of heart rate, respiratory rate, oxygen saturation, temperature and blood glucose.</w:t>
      </w:r>
    </w:p>
    <w:p w:rsidR="00ED72B1" w:rsidRPr="00ED72B1" w:rsidRDefault="00ED72B1" w:rsidP="00ED72B1">
      <w:pPr>
        <w:pStyle w:val="ListParagraph"/>
        <w:numPr>
          <w:ilvl w:val="0"/>
          <w:numId w:val="31"/>
        </w:numPr>
        <w:jc w:val="both"/>
        <w:rPr>
          <w:rFonts w:cs="Tahoma"/>
          <w:sz w:val="24"/>
        </w:rPr>
      </w:pPr>
      <w:r w:rsidRPr="00ED72B1">
        <w:rPr>
          <w:rFonts w:cs="Tahoma"/>
          <w:sz w:val="24"/>
        </w:rPr>
        <w:t>Hypoglycaemia: is an abnormally low level of glucose (sugar) in the blood. This indicator measures patients who are documented as receiving the appropriate care bundle, which comprises of blood glucose measurement before treatment, treatment and blood glucose measurement after treatment.</w:t>
      </w:r>
    </w:p>
    <w:p w:rsidR="00ED72B1" w:rsidRPr="00ED72B1" w:rsidRDefault="00ED72B1" w:rsidP="00ED72B1">
      <w:pPr>
        <w:pStyle w:val="ListParagraph"/>
        <w:numPr>
          <w:ilvl w:val="0"/>
          <w:numId w:val="31"/>
        </w:numPr>
        <w:jc w:val="both"/>
        <w:rPr>
          <w:rFonts w:cs="Tahoma"/>
          <w:sz w:val="24"/>
        </w:rPr>
      </w:pPr>
      <w:r w:rsidRPr="00ED72B1">
        <w:rPr>
          <w:rFonts w:cs="Tahoma"/>
          <w:sz w:val="24"/>
        </w:rPr>
        <w:t>Between 01 July 2019 to 30 September 2019 14,663 incidents did not result in a conveyance to a hospital or another destination. The reasons for non-conveyance is that 8,683 of these incidents were treated at scene and 5,980 were referred to an alternative provider.</w:t>
      </w:r>
    </w:p>
    <w:p w:rsidR="00ED72B1" w:rsidRPr="00ED72B1" w:rsidRDefault="00ED72B1" w:rsidP="00ED72B1">
      <w:pPr>
        <w:pStyle w:val="ListParagraph"/>
        <w:numPr>
          <w:ilvl w:val="0"/>
          <w:numId w:val="31"/>
        </w:numPr>
        <w:jc w:val="both"/>
        <w:rPr>
          <w:rFonts w:cs="Tahoma"/>
          <w:sz w:val="24"/>
        </w:rPr>
      </w:pPr>
      <w:r w:rsidRPr="00ED72B1">
        <w:rPr>
          <w:rFonts w:cs="Tahoma"/>
          <w:sz w:val="24"/>
        </w:rPr>
        <w:lastRenderedPageBreak/>
        <w:t>WAST has different types of ambulance resource that can be dispatched to incidents. It is important for patient care and the most effective use of resource that the ideal resource is dispatched and arrives on scene first.  Between 01 July 2019 to 30 September 2019 the ideal resource arrived on scene first for Amber incidents 67.0% of the time.</w:t>
      </w:r>
    </w:p>
    <w:p w:rsidR="00ED72B1" w:rsidRPr="00ED72B1" w:rsidRDefault="00ED72B1" w:rsidP="00ED72B1">
      <w:pPr>
        <w:pStyle w:val="ListParagraph"/>
        <w:numPr>
          <w:ilvl w:val="0"/>
          <w:numId w:val="31"/>
        </w:numPr>
        <w:jc w:val="both"/>
        <w:rPr>
          <w:rFonts w:cs="Tahoma"/>
          <w:sz w:val="24"/>
        </w:rPr>
      </w:pPr>
      <w:r w:rsidRPr="00ED72B1">
        <w:rPr>
          <w:rFonts w:cs="Tahoma"/>
          <w:sz w:val="24"/>
        </w:rPr>
        <w:t>There is no ideal resource for Red incidents, which are immediately life threatening and time critical. For these incidents the nearest available resource will be dispatched with further resources dispatched as back up.</w:t>
      </w:r>
      <w:r>
        <w:rPr>
          <w:rFonts w:cs="Tahoma"/>
          <w:sz w:val="24"/>
        </w:rPr>
        <w:br/>
      </w:r>
    </w:p>
    <w:p w:rsidR="00ED72B1" w:rsidRPr="00ED72B1" w:rsidRDefault="00ED72B1" w:rsidP="00ED72B1">
      <w:pPr>
        <w:jc w:val="both"/>
        <w:rPr>
          <w:rFonts w:ascii="Verdana" w:hAnsi="Verdana" w:cs="Tahoma"/>
          <w:b/>
          <w:sz w:val="24"/>
        </w:rPr>
      </w:pPr>
      <w:r w:rsidRPr="00ED72B1">
        <w:rPr>
          <w:rFonts w:ascii="Verdana" w:hAnsi="Verdana" w:cs="Tahoma"/>
          <w:b/>
          <w:sz w:val="24"/>
        </w:rPr>
        <w:t>Step Five – Take Me to Hospital</w:t>
      </w:r>
    </w:p>
    <w:p w:rsidR="00ED72B1" w:rsidRPr="00ED72B1" w:rsidRDefault="00ED72B1" w:rsidP="00ED72B1">
      <w:pPr>
        <w:jc w:val="both"/>
        <w:rPr>
          <w:rFonts w:ascii="Verdana" w:hAnsi="Verdana" w:cs="Tahoma"/>
          <w:sz w:val="24"/>
        </w:rPr>
      </w:pPr>
    </w:p>
    <w:p w:rsidR="00ED72B1" w:rsidRPr="00ED72B1" w:rsidRDefault="00ED72B1" w:rsidP="00ED72B1">
      <w:pPr>
        <w:pStyle w:val="ListParagraph"/>
        <w:numPr>
          <w:ilvl w:val="0"/>
          <w:numId w:val="32"/>
        </w:numPr>
        <w:jc w:val="both"/>
        <w:rPr>
          <w:rFonts w:cs="Tahoma"/>
          <w:sz w:val="24"/>
        </w:rPr>
      </w:pPr>
      <w:r w:rsidRPr="00ED72B1">
        <w:rPr>
          <w:rFonts w:cs="Tahoma"/>
          <w:sz w:val="24"/>
        </w:rPr>
        <w:t>44,975 patients who called 999 were conveyed to a hospital or another destination between 01 July 2019 to 30 September 2019.</w:t>
      </w:r>
    </w:p>
    <w:p w:rsidR="00ED72B1" w:rsidRPr="00ED72B1" w:rsidRDefault="00ED72B1" w:rsidP="00ED72B1">
      <w:pPr>
        <w:pStyle w:val="ListParagraph"/>
        <w:numPr>
          <w:ilvl w:val="0"/>
          <w:numId w:val="32"/>
        </w:numPr>
        <w:jc w:val="both"/>
        <w:rPr>
          <w:rFonts w:cs="Tahoma"/>
          <w:sz w:val="24"/>
        </w:rPr>
      </w:pPr>
      <w:r w:rsidRPr="00ED72B1">
        <w:rPr>
          <w:rFonts w:cs="Tahoma"/>
          <w:sz w:val="24"/>
        </w:rPr>
        <w:t>NHS Wales guidance is that the handover of care of patients from an ambulance crew to hospital staff should be within 15 minutes. Across Wales, between 01 July 2019 to 30 September 2019 this occurred in 42.0% of cases.</w:t>
      </w:r>
    </w:p>
    <w:p w:rsidR="00ED72B1" w:rsidRPr="00ED72B1" w:rsidRDefault="00ED72B1" w:rsidP="00ED72B1">
      <w:pPr>
        <w:pStyle w:val="ListParagraph"/>
        <w:numPr>
          <w:ilvl w:val="0"/>
          <w:numId w:val="32"/>
        </w:numPr>
        <w:jc w:val="both"/>
        <w:rPr>
          <w:rFonts w:cs="Tahoma"/>
          <w:sz w:val="24"/>
        </w:rPr>
      </w:pPr>
      <w:r w:rsidRPr="00ED72B1">
        <w:rPr>
          <w:rFonts w:cs="Tahoma"/>
          <w:sz w:val="24"/>
        </w:rPr>
        <w:t>The handover of care is important as taking more than 15 minutes means the patient remains in the ambulance which means the ambulance is not available to respond to other calls in the community. Between 01 July 2019 to 30 September 2019, 26,481 hours were lost to delayed handovers of care.</w:t>
      </w:r>
    </w:p>
    <w:p w:rsidR="00ED72B1" w:rsidRPr="00ED72B1" w:rsidRDefault="00ED72B1" w:rsidP="00ED72B1">
      <w:pPr>
        <w:pStyle w:val="ListParagraph"/>
        <w:numPr>
          <w:ilvl w:val="0"/>
          <w:numId w:val="32"/>
        </w:numPr>
        <w:jc w:val="both"/>
        <w:rPr>
          <w:rFonts w:cs="Tahoma"/>
          <w:sz w:val="24"/>
        </w:rPr>
      </w:pPr>
      <w:r w:rsidRPr="00ED72B1">
        <w:rPr>
          <w:rFonts w:cs="Tahoma"/>
          <w:sz w:val="24"/>
        </w:rPr>
        <w:t>Once an ambulance crew has handed over the care of a patient to a hospital or other destination NHS Wales guidance is that ambulances clear and be ready for the next call within 15 minutes or less.</w:t>
      </w:r>
    </w:p>
    <w:p w:rsidR="00ED72B1" w:rsidRPr="00ED72B1" w:rsidRDefault="00ED72B1" w:rsidP="00ED72B1">
      <w:pPr>
        <w:pStyle w:val="ListParagraph"/>
        <w:numPr>
          <w:ilvl w:val="0"/>
          <w:numId w:val="32"/>
        </w:numPr>
        <w:jc w:val="both"/>
        <w:rPr>
          <w:rFonts w:cs="Tahoma"/>
          <w:sz w:val="24"/>
        </w:rPr>
      </w:pPr>
      <w:r w:rsidRPr="00ED72B1">
        <w:rPr>
          <w:rFonts w:cs="Tahoma"/>
          <w:sz w:val="24"/>
        </w:rPr>
        <w:t>Between 01 July 2019 to 30 September 2019, 88.3% of ambulances cleared within 15 minutes or less.</w:t>
      </w:r>
    </w:p>
    <w:p w:rsidR="00F545E0" w:rsidRPr="00ED72B1" w:rsidRDefault="00ED72B1" w:rsidP="00ED72B1">
      <w:pPr>
        <w:pStyle w:val="ListParagraph"/>
        <w:numPr>
          <w:ilvl w:val="0"/>
          <w:numId w:val="32"/>
        </w:numPr>
        <w:jc w:val="both"/>
        <w:rPr>
          <w:rFonts w:cs="Tahoma"/>
          <w:sz w:val="24"/>
        </w:rPr>
      </w:pPr>
      <w:r w:rsidRPr="00ED72B1">
        <w:rPr>
          <w:rFonts w:cs="Tahoma"/>
          <w:sz w:val="24"/>
        </w:rPr>
        <w:t>The handover to clear is an important efficiency measure. Between 01 July 2019 to 30 September 2019, 925 hours were lost to delayed handovers to clear.</w:t>
      </w:r>
    </w:p>
    <w:p w:rsidR="00ED72B1" w:rsidRPr="007432D0" w:rsidRDefault="00ED72B1">
      <w:pPr>
        <w:rPr>
          <w:rFonts w:ascii="Verdana" w:hAnsi="Verdana" w:cs="Tahoma"/>
          <w:b/>
          <w:sz w:val="24"/>
        </w:rPr>
      </w:pPr>
    </w:p>
    <w:p w:rsidR="00C3165F" w:rsidRPr="007612B1" w:rsidRDefault="00C3165F" w:rsidP="00C3165F">
      <w:pPr>
        <w:pStyle w:val="Footer"/>
        <w:tabs>
          <w:tab w:val="clear" w:pos="8306"/>
          <w:tab w:val="right" w:pos="9000"/>
        </w:tabs>
        <w:jc w:val="both"/>
        <w:rPr>
          <w:rFonts w:ascii="Verdana" w:hAnsi="Verdana"/>
          <w:b/>
          <w:sz w:val="24"/>
        </w:rPr>
      </w:pPr>
      <w:r w:rsidRPr="007612B1">
        <w:rPr>
          <w:rFonts w:ascii="Verdana" w:hAnsi="Verdana"/>
          <w:b/>
          <w:sz w:val="24"/>
        </w:rPr>
        <w:t xml:space="preserve">4.   </w:t>
      </w:r>
      <w:r w:rsidRPr="007612B1">
        <w:rPr>
          <w:rFonts w:ascii="Verdana" w:hAnsi="Verdana"/>
          <w:b/>
          <w:sz w:val="24"/>
          <w:bdr w:val="single" w:sz="4" w:space="0" w:color="auto"/>
        </w:rPr>
        <w:t>R</w:t>
      </w:r>
      <w:r w:rsidRPr="007612B1">
        <w:rPr>
          <w:rFonts w:ascii="Verdana" w:hAnsi="Verdana"/>
          <w:b/>
          <w:sz w:val="24"/>
        </w:rPr>
        <w:t>ECOMMENDATION</w:t>
      </w:r>
    </w:p>
    <w:p w:rsidR="00C3165F" w:rsidRPr="007612B1" w:rsidRDefault="00C3165F" w:rsidP="00C3165F">
      <w:pPr>
        <w:autoSpaceDE w:val="0"/>
        <w:autoSpaceDN w:val="0"/>
        <w:adjustRightInd w:val="0"/>
        <w:jc w:val="both"/>
        <w:rPr>
          <w:rFonts w:ascii="Verdana" w:hAnsi="Verdana" w:cs="Arial"/>
          <w:sz w:val="24"/>
        </w:rPr>
      </w:pPr>
    </w:p>
    <w:p w:rsidR="00C3165F" w:rsidRPr="007612B1" w:rsidRDefault="00C3165F" w:rsidP="00ED72B1">
      <w:pPr>
        <w:autoSpaceDE w:val="0"/>
        <w:autoSpaceDN w:val="0"/>
        <w:adjustRightInd w:val="0"/>
        <w:rPr>
          <w:rFonts w:ascii="Verdana" w:hAnsi="Verdana" w:cs="Arial"/>
          <w:color w:val="000000"/>
          <w:sz w:val="24"/>
        </w:rPr>
      </w:pPr>
      <w:r w:rsidRPr="007612B1">
        <w:rPr>
          <w:rFonts w:ascii="Verdana" w:hAnsi="Verdana" w:cs="Arial"/>
          <w:color w:val="000000"/>
          <w:sz w:val="24"/>
        </w:rPr>
        <w:t xml:space="preserve">Members of the </w:t>
      </w:r>
      <w:r w:rsidRPr="007612B1">
        <w:rPr>
          <w:rFonts w:ascii="Verdana" w:hAnsi="Verdana" w:cs="Arial"/>
          <w:sz w:val="24"/>
        </w:rPr>
        <w:t>Emergency Ambulance Services Committee</w:t>
      </w:r>
      <w:r w:rsidRPr="007612B1">
        <w:rPr>
          <w:rFonts w:ascii="Verdana" w:hAnsi="Verdana" w:cs="Arial"/>
          <w:b/>
          <w:sz w:val="24"/>
        </w:rPr>
        <w:t xml:space="preserve"> </w:t>
      </w:r>
      <w:r w:rsidRPr="007612B1">
        <w:rPr>
          <w:rFonts w:ascii="Verdana" w:hAnsi="Verdana" w:cs="Arial"/>
          <w:color w:val="000000"/>
          <w:sz w:val="24"/>
        </w:rPr>
        <w:t xml:space="preserve">are asked to: </w:t>
      </w:r>
    </w:p>
    <w:p w:rsidR="00C3165F" w:rsidRPr="007612B1" w:rsidRDefault="00C3165F" w:rsidP="00C3165F">
      <w:pPr>
        <w:autoSpaceDE w:val="0"/>
        <w:autoSpaceDN w:val="0"/>
        <w:adjustRightInd w:val="0"/>
        <w:jc w:val="both"/>
        <w:rPr>
          <w:rFonts w:ascii="Verdana" w:hAnsi="Verdana" w:cs="Arial"/>
          <w:b/>
          <w:color w:val="000000"/>
          <w:sz w:val="24"/>
        </w:rPr>
      </w:pPr>
    </w:p>
    <w:p w:rsidR="003F2E33" w:rsidRPr="003F2E33" w:rsidRDefault="00ED72B1" w:rsidP="003F2E33">
      <w:pPr>
        <w:pStyle w:val="ListParagraph"/>
        <w:numPr>
          <w:ilvl w:val="0"/>
          <w:numId w:val="1"/>
        </w:numPr>
        <w:rPr>
          <w:rFonts w:eastAsia="Calibri"/>
          <w:sz w:val="24"/>
          <w:lang w:val="en-US"/>
        </w:rPr>
      </w:pPr>
      <w:r>
        <w:rPr>
          <w:b/>
          <w:sz w:val="24"/>
        </w:rPr>
        <w:t xml:space="preserve">NOTE </w:t>
      </w:r>
      <w:r>
        <w:rPr>
          <w:sz w:val="24"/>
        </w:rPr>
        <w:t>the contents of the report</w:t>
      </w:r>
    </w:p>
    <w:tbl>
      <w:tblPr>
        <w:tblpPr w:leftFromText="180" w:rightFromText="180" w:vertAnchor="text" w:horzAnchor="margin" w:tblpY="24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574"/>
      </w:tblGrid>
      <w:tr w:rsidR="00C3165F" w:rsidRPr="007612B1" w:rsidTr="00095727">
        <w:trPr>
          <w:trHeight w:val="425"/>
        </w:trPr>
        <w:tc>
          <w:tcPr>
            <w:tcW w:w="3060" w:type="dxa"/>
            <w:tcBorders>
              <w:top w:val="single" w:sz="4" w:space="0" w:color="auto"/>
              <w:left w:val="single" w:sz="4" w:space="0" w:color="auto"/>
              <w:bottom w:val="single" w:sz="4" w:space="0" w:color="auto"/>
              <w:right w:val="single" w:sz="4" w:space="0" w:color="auto"/>
            </w:tcBorders>
            <w:shd w:val="clear" w:color="auto" w:fill="E6E6E6"/>
          </w:tcPr>
          <w:p w:rsidR="00C3165F" w:rsidRPr="007612B1" w:rsidRDefault="00C3165F" w:rsidP="00D723FB">
            <w:pPr>
              <w:rPr>
                <w:rFonts w:ascii="Verdana" w:hAnsi="Verdana" w:cs="Arial"/>
                <w:b/>
                <w:sz w:val="24"/>
              </w:rPr>
            </w:pPr>
            <w:r w:rsidRPr="007612B1">
              <w:rPr>
                <w:rFonts w:ascii="Verdana" w:hAnsi="Verdana" w:cs="Arial"/>
                <w:b/>
                <w:sz w:val="24"/>
              </w:rPr>
              <w:t>Freedom of information status</w:t>
            </w:r>
          </w:p>
        </w:tc>
        <w:tc>
          <w:tcPr>
            <w:tcW w:w="6574" w:type="dxa"/>
            <w:tcBorders>
              <w:top w:val="single" w:sz="4" w:space="0" w:color="auto"/>
              <w:left w:val="single" w:sz="4" w:space="0" w:color="auto"/>
              <w:bottom w:val="single" w:sz="4" w:space="0" w:color="auto"/>
              <w:right w:val="single" w:sz="4" w:space="0" w:color="auto"/>
            </w:tcBorders>
          </w:tcPr>
          <w:p w:rsidR="00C3165F" w:rsidRPr="007612B1" w:rsidRDefault="00C3165F" w:rsidP="00D723FB">
            <w:pPr>
              <w:rPr>
                <w:rFonts w:ascii="Verdana" w:hAnsi="Verdana" w:cs="Arial"/>
                <w:sz w:val="24"/>
              </w:rPr>
            </w:pPr>
            <w:r w:rsidRPr="007612B1">
              <w:rPr>
                <w:rFonts w:ascii="Verdana" w:hAnsi="Verdana" w:cs="Arial"/>
                <w:sz w:val="24"/>
              </w:rPr>
              <w:t xml:space="preserve">Open </w:t>
            </w:r>
          </w:p>
        </w:tc>
      </w:tr>
    </w:tbl>
    <w:p w:rsidR="00C3165F" w:rsidRPr="007612B1" w:rsidRDefault="00C3165F" w:rsidP="00C3165F">
      <w:pPr>
        <w:autoSpaceDE w:val="0"/>
        <w:autoSpaceDN w:val="0"/>
        <w:adjustRightInd w:val="0"/>
        <w:jc w:val="both"/>
        <w:rPr>
          <w:rFonts w:ascii="Verdana" w:hAnsi="Verdana" w:cs="Arial"/>
          <w:sz w:val="24"/>
        </w:rPr>
      </w:pPr>
    </w:p>
    <w:p w:rsidR="00C3165F" w:rsidRPr="007612B1" w:rsidRDefault="00C3165F" w:rsidP="00C3165F">
      <w:pPr>
        <w:rPr>
          <w:rFonts w:ascii="Verdana" w:hAnsi="Verdana" w:cs="Arial"/>
          <w:sz w:val="24"/>
        </w:rPr>
      </w:pPr>
    </w:p>
    <w:p w:rsidR="00C3165F" w:rsidRDefault="00C3165F" w:rsidP="001C148C">
      <w:pPr>
        <w:jc w:val="center"/>
      </w:pPr>
    </w:p>
    <w:sectPr w:rsidR="00C3165F" w:rsidSect="00B25B45">
      <w:footerReference w:type="default" r:id="rId13"/>
      <w:pgSz w:w="11907" w:h="16840" w:code="9"/>
      <w:pgMar w:top="902" w:right="924" w:bottom="1440" w:left="1259"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EE4" w:rsidRDefault="008D7EE4" w:rsidP="00C3165F">
      <w:r>
        <w:separator/>
      </w:r>
    </w:p>
  </w:endnote>
  <w:endnote w:type="continuationSeparator" w:id="0">
    <w:p w:rsidR="008D7EE4" w:rsidRDefault="008D7EE4" w:rsidP="00C3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4A0" w:firstRow="1" w:lastRow="0" w:firstColumn="1" w:lastColumn="0" w:noHBand="0" w:noVBand="1"/>
    </w:tblPr>
    <w:tblGrid>
      <w:gridCol w:w="3936"/>
      <w:gridCol w:w="1842"/>
      <w:gridCol w:w="3544"/>
    </w:tblGrid>
    <w:tr w:rsidR="001011E8" w:rsidRPr="00B12689" w:rsidTr="00D723FB">
      <w:tc>
        <w:tcPr>
          <w:tcW w:w="3936" w:type="dxa"/>
        </w:tcPr>
        <w:p w:rsidR="001011E8" w:rsidRDefault="00B25B45" w:rsidP="00C3165F">
          <w:pPr>
            <w:pStyle w:val="Footer"/>
            <w:tabs>
              <w:tab w:val="clear" w:pos="8306"/>
              <w:tab w:val="right" w:pos="9000"/>
            </w:tabs>
            <w:rPr>
              <w:rFonts w:ascii="Verdana"/>
              <w:b/>
              <w:sz w:val="18"/>
              <w:szCs w:val="18"/>
            </w:rPr>
          </w:pPr>
          <w:r>
            <w:rPr>
              <w:rFonts w:ascii="Verdana"/>
              <w:b/>
              <w:sz w:val="18"/>
              <w:szCs w:val="18"/>
            </w:rPr>
            <w:t>Ambulance Quality Indicators</w:t>
          </w:r>
        </w:p>
        <w:p w:rsidR="00B25B45" w:rsidRPr="006356C8" w:rsidRDefault="00B25B45" w:rsidP="00C3165F">
          <w:pPr>
            <w:pStyle w:val="Footer"/>
            <w:tabs>
              <w:tab w:val="clear" w:pos="8306"/>
              <w:tab w:val="right" w:pos="9000"/>
            </w:tabs>
            <w:rPr>
              <w:rFonts w:ascii="Verdana" w:hAnsi="Verdana" w:cs="Arial"/>
              <w:sz w:val="18"/>
              <w:szCs w:val="18"/>
            </w:rPr>
          </w:pPr>
          <w:r>
            <w:rPr>
              <w:rFonts w:ascii="Verdana"/>
              <w:b/>
              <w:sz w:val="18"/>
              <w:szCs w:val="18"/>
            </w:rPr>
            <w:t xml:space="preserve">1 July 2019 </w:t>
          </w:r>
          <w:r>
            <w:rPr>
              <w:rFonts w:ascii="Verdana"/>
              <w:b/>
              <w:sz w:val="18"/>
              <w:szCs w:val="18"/>
            </w:rPr>
            <w:t>–</w:t>
          </w:r>
          <w:r>
            <w:rPr>
              <w:rFonts w:ascii="Verdana"/>
              <w:b/>
              <w:sz w:val="18"/>
              <w:szCs w:val="18"/>
            </w:rPr>
            <w:t xml:space="preserve"> 30 September 2019</w:t>
          </w:r>
        </w:p>
      </w:tc>
      <w:tc>
        <w:tcPr>
          <w:tcW w:w="1842" w:type="dxa"/>
        </w:tcPr>
        <w:p w:rsidR="001011E8" w:rsidRPr="00B12689" w:rsidRDefault="001011E8" w:rsidP="00C3165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ED014A">
            <w:rPr>
              <w:rFonts w:ascii="Verdana" w:hAnsi="Verdana" w:cs="Arial"/>
              <w:b/>
              <w:noProof/>
              <w:sz w:val="18"/>
              <w:szCs w:val="18"/>
            </w:rPr>
            <w:t>1</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ED014A">
            <w:rPr>
              <w:rFonts w:ascii="Verdana" w:hAnsi="Verdana" w:cs="Arial"/>
              <w:b/>
              <w:noProof/>
              <w:sz w:val="18"/>
              <w:szCs w:val="18"/>
            </w:rPr>
            <w:t>7</w:t>
          </w:r>
          <w:r w:rsidRPr="00B12689">
            <w:rPr>
              <w:rFonts w:ascii="Verdana" w:hAnsi="Verdana" w:cs="Arial"/>
              <w:b/>
              <w:sz w:val="18"/>
              <w:szCs w:val="18"/>
            </w:rPr>
            <w:fldChar w:fldCharType="end"/>
          </w:r>
        </w:p>
      </w:tc>
      <w:tc>
        <w:tcPr>
          <w:tcW w:w="3544" w:type="dxa"/>
        </w:tcPr>
        <w:p w:rsidR="001011E8" w:rsidRPr="006356C8" w:rsidRDefault="001011E8" w:rsidP="00C3165F">
          <w:pPr>
            <w:pStyle w:val="Footer"/>
            <w:tabs>
              <w:tab w:val="clear" w:pos="8306"/>
              <w:tab w:val="right" w:pos="9000"/>
            </w:tabs>
            <w:jc w:val="right"/>
            <w:rPr>
              <w:rFonts w:ascii="Verdana" w:hAnsi="Verdana" w:cs="Arial"/>
              <w:b/>
              <w:sz w:val="18"/>
              <w:szCs w:val="18"/>
            </w:rPr>
          </w:pPr>
          <w:r w:rsidRPr="006356C8">
            <w:rPr>
              <w:rFonts w:ascii="Verdana" w:hAnsi="Verdana" w:cs="Arial"/>
              <w:b/>
              <w:sz w:val="18"/>
              <w:szCs w:val="18"/>
            </w:rPr>
            <w:t xml:space="preserve">Emergency Ambulance Services Committee  Meeting </w:t>
          </w:r>
        </w:p>
        <w:p w:rsidR="001011E8" w:rsidRPr="00B12689" w:rsidRDefault="004E3EAB" w:rsidP="00095727">
          <w:pPr>
            <w:pStyle w:val="Footer"/>
            <w:tabs>
              <w:tab w:val="clear" w:pos="8306"/>
              <w:tab w:val="right" w:pos="9000"/>
            </w:tabs>
            <w:jc w:val="right"/>
            <w:rPr>
              <w:rFonts w:ascii="Verdana" w:hAnsi="Verdana" w:cs="Arial"/>
            </w:rPr>
          </w:pPr>
          <w:r>
            <w:rPr>
              <w:rFonts w:ascii="Verdana" w:hAnsi="Verdana" w:cs="Arial"/>
              <w:b/>
              <w:sz w:val="18"/>
              <w:szCs w:val="18"/>
            </w:rPr>
            <w:t>12 November 2019</w:t>
          </w:r>
        </w:p>
      </w:tc>
    </w:tr>
  </w:tbl>
  <w:p w:rsidR="001011E8" w:rsidRPr="00095727" w:rsidRDefault="001011E8" w:rsidP="00095727">
    <w:pPr>
      <w:pStyle w:val="Footer"/>
      <w:tabs>
        <w:tab w:val="clear" w:pos="8306"/>
        <w:tab w:val="right" w:pos="9000"/>
      </w:tabs>
      <w:rPr>
        <w:rFonts w:ascii="Verdana" w:hAnsi="Verdana" w:cs="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EE4" w:rsidRDefault="008D7EE4" w:rsidP="00C3165F">
      <w:r>
        <w:separator/>
      </w:r>
    </w:p>
  </w:footnote>
  <w:footnote w:type="continuationSeparator" w:id="0">
    <w:p w:rsidR="008D7EE4" w:rsidRDefault="008D7EE4" w:rsidP="00C316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0357D"/>
    <w:multiLevelType w:val="hybridMultilevel"/>
    <w:tmpl w:val="9758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45FC5"/>
    <w:multiLevelType w:val="hybridMultilevel"/>
    <w:tmpl w:val="09FC46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6B66BF"/>
    <w:multiLevelType w:val="hybridMultilevel"/>
    <w:tmpl w:val="F5C4F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2A3E5B"/>
    <w:multiLevelType w:val="hybridMultilevel"/>
    <w:tmpl w:val="F8BE5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32587D"/>
    <w:multiLevelType w:val="hybridMultilevel"/>
    <w:tmpl w:val="E44AA32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41D2AC9"/>
    <w:multiLevelType w:val="hybridMultilevel"/>
    <w:tmpl w:val="5A34E9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65E3081"/>
    <w:multiLevelType w:val="hybridMultilevel"/>
    <w:tmpl w:val="0504C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1D722C"/>
    <w:multiLevelType w:val="hybridMultilevel"/>
    <w:tmpl w:val="B100E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9F553B"/>
    <w:multiLevelType w:val="hybridMultilevel"/>
    <w:tmpl w:val="1C8A4A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A701B6"/>
    <w:multiLevelType w:val="hybridMultilevel"/>
    <w:tmpl w:val="BD702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27092F"/>
    <w:multiLevelType w:val="hybridMultilevel"/>
    <w:tmpl w:val="E586C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612CE5"/>
    <w:multiLevelType w:val="hybridMultilevel"/>
    <w:tmpl w:val="161A67FC"/>
    <w:lvl w:ilvl="0" w:tplc="08090001">
      <w:start w:val="1"/>
      <w:numFmt w:val="bullet"/>
      <w:lvlText w:val=""/>
      <w:lvlJc w:val="left"/>
      <w:pPr>
        <w:ind w:left="809" w:hanging="360"/>
      </w:pPr>
      <w:rPr>
        <w:rFonts w:ascii="Symbol" w:hAnsi="Symbol" w:hint="default"/>
      </w:rPr>
    </w:lvl>
    <w:lvl w:ilvl="1" w:tplc="08090003" w:tentative="1">
      <w:start w:val="1"/>
      <w:numFmt w:val="bullet"/>
      <w:lvlText w:val="o"/>
      <w:lvlJc w:val="left"/>
      <w:pPr>
        <w:ind w:left="1529" w:hanging="360"/>
      </w:pPr>
      <w:rPr>
        <w:rFonts w:ascii="Courier New" w:hAnsi="Courier New" w:cs="Courier New" w:hint="default"/>
      </w:rPr>
    </w:lvl>
    <w:lvl w:ilvl="2" w:tplc="08090005" w:tentative="1">
      <w:start w:val="1"/>
      <w:numFmt w:val="bullet"/>
      <w:lvlText w:val=""/>
      <w:lvlJc w:val="left"/>
      <w:pPr>
        <w:ind w:left="2249" w:hanging="360"/>
      </w:pPr>
      <w:rPr>
        <w:rFonts w:ascii="Wingdings" w:hAnsi="Wingdings" w:hint="default"/>
      </w:rPr>
    </w:lvl>
    <w:lvl w:ilvl="3" w:tplc="08090001" w:tentative="1">
      <w:start w:val="1"/>
      <w:numFmt w:val="bullet"/>
      <w:lvlText w:val=""/>
      <w:lvlJc w:val="left"/>
      <w:pPr>
        <w:ind w:left="2969" w:hanging="360"/>
      </w:pPr>
      <w:rPr>
        <w:rFonts w:ascii="Symbol" w:hAnsi="Symbol" w:hint="default"/>
      </w:rPr>
    </w:lvl>
    <w:lvl w:ilvl="4" w:tplc="08090003" w:tentative="1">
      <w:start w:val="1"/>
      <w:numFmt w:val="bullet"/>
      <w:lvlText w:val="o"/>
      <w:lvlJc w:val="left"/>
      <w:pPr>
        <w:ind w:left="3689" w:hanging="360"/>
      </w:pPr>
      <w:rPr>
        <w:rFonts w:ascii="Courier New" w:hAnsi="Courier New" w:cs="Courier New" w:hint="default"/>
      </w:rPr>
    </w:lvl>
    <w:lvl w:ilvl="5" w:tplc="08090005" w:tentative="1">
      <w:start w:val="1"/>
      <w:numFmt w:val="bullet"/>
      <w:lvlText w:val=""/>
      <w:lvlJc w:val="left"/>
      <w:pPr>
        <w:ind w:left="4409" w:hanging="360"/>
      </w:pPr>
      <w:rPr>
        <w:rFonts w:ascii="Wingdings" w:hAnsi="Wingdings" w:hint="default"/>
      </w:rPr>
    </w:lvl>
    <w:lvl w:ilvl="6" w:tplc="08090001" w:tentative="1">
      <w:start w:val="1"/>
      <w:numFmt w:val="bullet"/>
      <w:lvlText w:val=""/>
      <w:lvlJc w:val="left"/>
      <w:pPr>
        <w:ind w:left="5129" w:hanging="360"/>
      </w:pPr>
      <w:rPr>
        <w:rFonts w:ascii="Symbol" w:hAnsi="Symbol" w:hint="default"/>
      </w:rPr>
    </w:lvl>
    <w:lvl w:ilvl="7" w:tplc="08090003" w:tentative="1">
      <w:start w:val="1"/>
      <w:numFmt w:val="bullet"/>
      <w:lvlText w:val="o"/>
      <w:lvlJc w:val="left"/>
      <w:pPr>
        <w:ind w:left="5849" w:hanging="360"/>
      </w:pPr>
      <w:rPr>
        <w:rFonts w:ascii="Courier New" w:hAnsi="Courier New" w:cs="Courier New" w:hint="default"/>
      </w:rPr>
    </w:lvl>
    <w:lvl w:ilvl="8" w:tplc="08090005" w:tentative="1">
      <w:start w:val="1"/>
      <w:numFmt w:val="bullet"/>
      <w:lvlText w:val=""/>
      <w:lvlJc w:val="left"/>
      <w:pPr>
        <w:ind w:left="6569" w:hanging="360"/>
      </w:pPr>
      <w:rPr>
        <w:rFonts w:ascii="Wingdings" w:hAnsi="Wingdings" w:hint="default"/>
      </w:rPr>
    </w:lvl>
  </w:abstractNum>
  <w:abstractNum w:abstractNumId="12" w15:restartNumberingAfterBreak="0">
    <w:nsid w:val="3CE30B81"/>
    <w:multiLevelType w:val="hybridMultilevel"/>
    <w:tmpl w:val="3F04DE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FC2749"/>
    <w:multiLevelType w:val="hybridMultilevel"/>
    <w:tmpl w:val="883862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66B4015"/>
    <w:multiLevelType w:val="hybridMultilevel"/>
    <w:tmpl w:val="70503FE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87316C7"/>
    <w:multiLevelType w:val="hybridMultilevel"/>
    <w:tmpl w:val="181EB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AD66C9"/>
    <w:multiLevelType w:val="hybridMultilevel"/>
    <w:tmpl w:val="D9D0B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58680F"/>
    <w:multiLevelType w:val="hybridMultilevel"/>
    <w:tmpl w:val="B888D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095D64"/>
    <w:multiLevelType w:val="hybridMultilevel"/>
    <w:tmpl w:val="263077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EC350C2"/>
    <w:multiLevelType w:val="hybridMultilevel"/>
    <w:tmpl w:val="B908F950"/>
    <w:lvl w:ilvl="0" w:tplc="F3F4869C">
      <w:start w:val="1"/>
      <w:numFmt w:val="bullet"/>
      <w:lvlText w:val=""/>
      <w:lvlJc w:val="left"/>
      <w:pPr>
        <w:ind w:left="399" w:hanging="337"/>
      </w:pPr>
      <w:rPr>
        <w:rFonts w:ascii="Symbol" w:eastAsia="Symbol" w:hAnsi="Symbol" w:hint="default"/>
        <w:w w:val="101"/>
        <w:sz w:val="22"/>
        <w:szCs w:val="22"/>
      </w:rPr>
    </w:lvl>
    <w:lvl w:ilvl="1" w:tplc="B8E242B6">
      <w:start w:val="1"/>
      <w:numFmt w:val="bullet"/>
      <w:lvlText w:val="•"/>
      <w:lvlJc w:val="left"/>
      <w:pPr>
        <w:ind w:left="944" w:hanging="337"/>
      </w:pPr>
      <w:rPr>
        <w:rFonts w:hint="default"/>
      </w:rPr>
    </w:lvl>
    <w:lvl w:ilvl="2" w:tplc="96C6B14C">
      <w:start w:val="1"/>
      <w:numFmt w:val="bullet"/>
      <w:lvlText w:val="•"/>
      <w:lvlJc w:val="left"/>
      <w:pPr>
        <w:ind w:left="1488" w:hanging="337"/>
      </w:pPr>
      <w:rPr>
        <w:rFonts w:hint="default"/>
      </w:rPr>
    </w:lvl>
    <w:lvl w:ilvl="3" w:tplc="2506A2F8">
      <w:start w:val="1"/>
      <w:numFmt w:val="bullet"/>
      <w:lvlText w:val="•"/>
      <w:lvlJc w:val="left"/>
      <w:pPr>
        <w:ind w:left="2033" w:hanging="337"/>
      </w:pPr>
      <w:rPr>
        <w:rFonts w:hint="default"/>
      </w:rPr>
    </w:lvl>
    <w:lvl w:ilvl="4" w:tplc="B3E27274">
      <w:start w:val="1"/>
      <w:numFmt w:val="bullet"/>
      <w:lvlText w:val="•"/>
      <w:lvlJc w:val="left"/>
      <w:pPr>
        <w:ind w:left="2577" w:hanging="337"/>
      </w:pPr>
      <w:rPr>
        <w:rFonts w:hint="default"/>
      </w:rPr>
    </w:lvl>
    <w:lvl w:ilvl="5" w:tplc="65BEA016">
      <w:start w:val="1"/>
      <w:numFmt w:val="bullet"/>
      <w:lvlText w:val="•"/>
      <w:lvlJc w:val="left"/>
      <w:pPr>
        <w:ind w:left="3122" w:hanging="337"/>
      </w:pPr>
      <w:rPr>
        <w:rFonts w:hint="default"/>
      </w:rPr>
    </w:lvl>
    <w:lvl w:ilvl="6" w:tplc="0D501A5E">
      <w:start w:val="1"/>
      <w:numFmt w:val="bullet"/>
      <w:lvlText w:val="•"/>
      <w:lvlJc w:val="left"/>
      <w:pPr>
        <w:ind w:left="3666" w:hanging="337"/>
      </w:pPr>
      <w:rPr>
        <w:rFonts w:hint="default"/>
      </w:rPr>
    </w:lvl>
    <w:lvl w:ilvl="7" w:tplc="D27A3B3A">
      <w:start w:val="1"/>
      <w:numFmt w:val="bullet"/>
      <w:lvlText w:val="•"/>
      <w:lvlJc w:val="left"/>
      <w:pPr>
        <w:ind w:left="4211" w:hanging="337"/>
      </w:pPr>
      <w:rPr>
        <w:rFonts w:hint="default"/>
      </w:rPr>
    </w:lvl>
    <w:lvl w:ilvl="8" w:tplc="7708F086">
      <w:start w:val="1"/>
      <w:numFmt w:val="bullet"/>
      <w:lvlText w:val="•"/>
      <w:lvlJc w:val="left"/>
      <w:pPr>
        <w:ind w:left="4755" w:hanging="337"/>
      </w:pPr>
      <w:rPr>
        <w:rFonts w:hint="default"/>
      </w:rPr>
    </w:lvl>
  </w:abstractNum>
  <w:abstractNum w:abstractNumId="20" w15:restartNumberingAfterBreak="0">
    <w:nsid w:val="5045298B"/>
    <w:multiLevelType w:val="hybridMultilevel"/>
    <w:tmpl w:val="3604C23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22B0D3D"/>
    <w:multiLevelType w:val="hybridMultilevel"/>
    <w:tmpl w:val="3B967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2D0D6C"/>
    <w:multiLevelType w:val="hybridMultilevel"/>
    <w:tmpl w:val="51DE28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98466CF"/>
    <w:multiLevelType w:val="hybridMultilevel"/>
    <w:tmpl w:val="D4FA26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C712DF8"/>
    <w:multiLevelType w:val="hybridMultilevel"/>
    <w:tmpl w:val="D1C882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C83D4D"/>
    <w:multiLevelType w:val="hybridMultilevel"/>
    <w:tmpl w:val="ECC255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3D356D8"/>
    <w:multiLevelType w:val="hybridMultilevel"/>
    <w:tmpl w:val="A73C507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5937E5E"/>
    <w:multiLevelType w:val="hybridMultilevel"/>
    <w:tmpl w:val="6F42979E"/>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CE3272"/>
    <w:multiLevelType w:val="hybridMultilevel"/>
    <w:tmpl w:val="F028D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1D66AF9"/>
    <w:multiLevelType w:val="hybridMultilevel"/>
    <w:tmpl w:val="3604C23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67711E4"/>
    <w:multiLevelType w:val="hybridMultilevel"/>
    <w:tmpl w:val="31563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A066F4"/>
    <w:multiLevelType w:val="hybridMultilevel"/>
    <w:tmpl w:val="EF869C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9"/>
  </w:num>
  <w:num w:numId="2">
    <w:abstractNumId w:val="17"/>
  </w:num>
  <w:num w:numId="3">
    <w:abstractNumId w:val="24"/>
  </w:num>
  <w:num w:numId="4">
    <w:abstractNumId w:val="21"/>
  </w:num>
  <w:num w:numId="5">
    <w:abstractNumId w:val="7"/>
  </w:num>
  <w:num w:numId="6">
    <w:abstractNumId w:val="1"/>
  </w:num>
  <w:num w:numId="7">
    <w:abstractNumId w:val="4"/>
  </w:num>
  <w:num w:numId="8">
    <w:abstractNumId w:val="29"/>
  </w:num>
  <w:num w:numId="9">
    <w:abstractNumId w:val="8"/>
  </w:num>
  <w:num w:numId="10">
    <w:abstractNumId w:val="27"/>
  </w:num>
  <w:num w:numId="11">
    <w:abstractNumId w:val="25"/>
  </w:num>
  <w:num w:numId="12">
    <w:abstractNumId w:val="13"/>
  </w:num>
  <w:num w:numId="13">
    <w:abstractNumId w:val="31"/>
  </w:num>
  <w:num w:numId="14">
    <w:abstractNumId w:val="20"/>
  </w:num>
  <w:num w:numId="15">
    <w:abstractNumId w:val="3"/>
  </w:num>
  <w:num w:numId="16">
    <w:abstractNumId w:val="12"/>
  </w:num>
  <w:num w:numId="17">
    <w:abstractNumId w:val="14"/>
  </w:num>
  <w:num w:numId="18">
    <w:abstractNumId w:val="26"/>
  </w:num>
  <w:num w:numId="19">
    <w:abstractNumId w:val="16"/>
  </w:num>
  <w:num w:numId="20">
    <w:abstractNumId w:val="5"/>
  </w:num>
  <w:num w:numId="21">
    <w:abstractNumId w:val="23"/>
  </w:num>
  <w:num w:numId="22">
    <w:abstractNumId w:val="18"/>
  </w:num>
  <w:num w:numId="23">
    <w:abstractNumId w:val="2"/>
  </w:num>
  <w:num w:numId="24">
    <w:abstractNumId w:val="9"/>
  </w:num>
  <w:num w:numId="25">
    <w:abstractNumId w:val="30"/>
  </w:num>
  <w:num w:numId="26">
    <w:abstractNumId w:val="0"/>
  </w:num>
  <w:num w:numId="27">
    <w:abstractNumId w:val="11"/>
  </w:num>
  <w:num w:numId="28">
    <w:abstractNumId w:val="28"/>
  </w:num>
  <w:num w:numId="29">
    <w:abstractNumId w:val="22"/>
  </w:num>
  <w:num w:numId="30">
    <w:abstractNumId w:val="10"/>
  </w:num>
  <w:num w:numId="31">
    <w:abstractNumId w:val="6"/>
  </w:num>
  <w:num w:numId="32">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65F"/>
    <w:rsid w:val="00021835"/>
    <w:rsid w:val="000500B5"/>
    <w:rsid w:val="00095727"/>
    <w:rsid w:val="0009720B"/>
    <w:rsid w:val="000A4D73"/>
    <w:rsid w:val="000B5FA9"/>
    <w:rsid w:val="000C5385"/>
    <w:rsid w:val="000E2987"/>
    <w:rsid w:val="000F4E2D"/>
    <w:rsid w:val="001011E8"/>
    <w:rsid w:val="00101CA2"/>
    <w:rsid w:val="00115D74"/>
    <w:rsid w:val="00131A3A"/>
    <w:rsid w:val="001416E6"/>
    <w:rsid w:val="001577C4"/>
    <w:rsid w:val="0017798C"/>
    <w:rsid w:val="00181FDD"/>
    <w:rsid w:val="001C148C"/>
    <w:rsid w:val="001C487B"/>
    <w:rsid w:val="001E4887"/>
    <w:rsid w:val="001E6202"/>
    <w:rsid w:val="00204B26"/>
    <w:rsid w:val="00225C11"/>
    <w:rsid w:val="00272721"/>
    <w:rsid w:val="00281170"/>
    <w:rsid w:val="00295A8D"/>
    <w:rsid w:val="002A57BF"/>
    <w:rsid w:val="002B4F38"/>
    <w:rsid w:val="002B7391"/>
    <w:rsid w:val="00317B90"/>
    <w:rsid w:val="00340031"/>
    <w:rsid w:val="00343A0D"/>
    <w:rsid w:val="00344066"/>
    <w:rsid w:val="00345A59"/>
    <w:rsid w:val="00394FB4"/>
    <w:rsid w:val="00397ECB"/>
    <w:rsid w:val="003B74C4"/>
    <w:rsid w:val="003E47BA"/>
    <w:rsid w:val="003F2E33"/>
    <w:rsid w:val="004045A9"/>
    <w:rsid w:val="00440291"/>
    <w:rsid w:val="00454EC5"/>
    <w:rsid w:val="00481D4F"/>
    <w:rsid w:val="004A0FB8"/>
    <w:rsid w:val="004A5D41"/>
    <w:rsid w:val="004D24DA"/>
    <w:rsid w:val="004E3EAB"/>
    <w:rsid w:val="0050365F"/>
    <w:rsid w:val="00593637"/>
    <w:rsid w:val="0059634A"/>
    <w:rsid w:val="005B6A2B"/>
    <w:rsid w:val="005C054B"/>
    <w:rsid w:val="005E1795"/>
    <w:rsid w:val="005F4A16"/>
    <w:rsid w:val="00613D0D"/>
    <w:rsid w:val="00661FB9"/>
    <w:rsid w:val="00673113"/>
    <w:rsid w:val="00685363"/>
    <w:rsid w:val="006859CE"/>
    <w:rsid w:val="006E38F3"/>
    <w:rsid w:val="006F4A93"/>
    <w:rsid w:val="007029D8"/>
    <w:rsid w:val="007432D0"/>
    <w:rsid w:val="00784704"/>
    <w:rsid w:val="007A0DFC"/>
    <w:rsid w:val="007A66E0"/>
    <w:rsid w:val="007D213B"/>
    <w:rsid w:val="008157C6"/>
    <w:rsid w:val="008249BC"/>
    <w:rsid w:val="00831C48"/>
    <w:rsid w:val="008A3636"/>
    <w:rsid w:val="008B2FE6"/>
    <w:rsid w:val="008B314C"/>
    <w:rsid w:val="008D7EE4"/>
    <w:rsid w:val="00901B41"/>
    <w:rsid w:val="00950D4E"/>
    <w:rsid w:val="00951D7C"/>
    <w:rsid w:val="00960242"/>
    <w:rsid w:val="0097093C"/>
    <w:rsid w:val="009852A0"/>
    <w:rsid w:val="00987A22"/>
    <w:rsid w:val="009A0155"/>
    <w:rsid w:val="009B6905"/>
    <w:rsid w:val="00A171CF"/>
    <w:rsid w:val="00A35F99"/>
    <w:rsid w:val="00A43950"/>
    <w:rsid w:val="00A51B13"/>
    <w:rsid w:val="00A61DD9"/>
    <w:rsid w:val="00A638D3"/>
    <w:rsid w:val="00A740C5"/>
    <w:rsid w:val="00A8427B"/>
    <w:rsid w:val="00A84EB9"/>
    <w:rsid w:val="00AC46A0"/>
    <w:rsid w:val="00B005FE"/>
    <w:rsid w:val="00B25B45"/>
    <w:rsid w:val="00B94DD9"/>
    <w:rsid w:val="00B9541E"/>
    <w:rsid w:val="00BB53FD"/>
    <w:rsid w:val="00BD432D"/>
    <w:rsid w:val="00C3165F"/>
    <w:rsid w:val="00C4174E"/>
    <w:rsid w:val="00CB4514"/>
    <w:rsid w:val="00CE2818"/>
    <w:rsid w:val="00CF043D"/>
    <w:rsid w:val="00CF0BF3"/>
    <w:rsid w:val="00CF71EC"/>
    <w:rsid w:val="00D001B9"/>
    <w:rsid w:val="00D62E2F"/>
    <w:rsid w:val="00D723FB"/>
    <w:rsid w:val="00DD2B2E"/>
    <w:rsid w:val="00DE0F2D"/>
    <w:rsid w:val="00DE73EA"/>
    <w:rsid w:val="00E378D8"/>
    <w:rsid w:val="00E71381"/>
    <w:rsid w:val="00E96FE1"/>
    <w:rsid w:val="00EB2551"/>
    <w:rsid w:val="00ED014A"/>
    <w:rsid w:val="00ED72B1"/>
    <w:rsid w:val="00F43903"/>
    <w:rsid w:val="00F51B50"/>
    <w:rsid w:val="00F545E0"/>
    <w:rsid w:val="00F56C4D"/>
    <w:rsid w:val="00F67711"/>
    <w:rsid w:val="00F740AB"/>
    <w:rsid w:val="00FB628F"/>
    <w:rsid w:val="00FF2DD8"/>
    <w:rsid w:val="00FF3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0F842E-A111-4200-B580-3585D889F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DD9"/>
    <w:rPr>
      <w:rFonts w:ascii="Arial" w:hAnsi="Arial"/>
      <w:sz w:val="28"/>
      <w:szCs w:val="24"/>
    </w:rPr>
  </w:style>
  <w:style w:type="paragraph" w:styleId="Heading2">
    <w:name w:val="heading 2"/>
    <w:basedOn w:val="Normal"/>
    <w:next w:val="Normal"/>
    <w:link w:val="Heading2Char"/>
    <w:qFormat/>
    <w:rsid w:val="00C3165F"/>
    <w:pPr>
      <w:keepNext/>
      <w:spacing w:before="240" w:after="60"/>
      <w:outlineLvl w:val="1"/>
    </w:pPr>
    <w:rPr>
      <w:rFonts w:cs="Arial"/>
      <w:b/>
      <w:bCs/>
      <w:i/>
      <w:iCs/>
      <w:szCs w:val="28"/>
    </w:rPr>
  </w:style>
  <w:style w:type="paragraph" w:styleId="Heading8">
    <w:name w:val="heading 8"/>
    <w:basedOn w:val="Normal"/>
    <w:next w:val="Normal"/>
    <w:link w:val="Heading8Char"/>
    <w:qFormat/>
    <w:rsid w:val="00C3165F"/>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3165F"/>
    <w:rPr>
      <w:rFonts w:ascii="Arial" w:hAnsi="Arial" w:cs="Arial"/>
      <w:b/>
      <w:bCs/>
      <w:i/>
      <w:iCs/>
      <w:sz w:val="28"/>
      <w:szCs w:val="28"/>
    </w:rPr>
  </w:style>
  <w:style w:type="character" w:customStyle="1" w:styleId="Heading8Char">
    <w:name w:val="Heading 8 Char"/>
    <w:basedOn w:val="DefaultParagraphFont"/>
    <w:link w:val="Heading8"/>
    <w:rsid w:val="00C3165F"/>
    <w:rPr>
      <w:i/>
      <w:iCs/>
      <w:sz w:val="24"/>
      <w:szCs w:val="24"/>
    </w:rPr>
  </w:style>
  <w:style w:type="paragraph" w:customStyle="1" w:styleId="TableParagraph">
    <w:name w:val="Table Paragraph"/>
    <w:basedOn w:val="Normal"/>
    <w:uiPriority w:val="1"/>
    <w:qFormat/>
    <w:rsid w:val="00C3165F"/>
    <w:pPr>
      <w:widowControl w:val="0"/>
    </w:pPr>
    <w:rPr>
      <w:rFonts w:ascii="Calibri" w:eastAsia="Calibri" w:hAnsi="Calibri"/>
      <w:sz w:val="22"/>
      <w:szCs w:val="22"/>
      <w:lang w:val="en-US" w:eastAsia="en-US"/>
    </w:rPr>
  </w:style>
  <w:style w:type="paragraph" w:styleId="Footer">
    <w:name w:val="footer"/>
    <w:aliases w:val="Doc Footer"/>
    <w:basedOn w:val="Normal"/>
    <w:link w:val="FooterChar1"/>
    <w:uiPriority w:val="99"/>
    <w:rsid w:val="00C3165F"/>
    <w:pPr>
      <w:tabs>
        <w:tab w:val="center" w:pos="4153"/>
        <w:tab w:val="right" w:pos="8306"/>
      </w:tabs>
    </w:pPr>
  </w:style>
  <w:style w:type="character" w:customStyle="1" w:styleId="FooterChar1">
    <w:name w:val="Footer Char1"/>
    <w:aliases w:val="Doc Footer Char"/>
    <w:link w:val="Footer"/>
    <w:locked/>
    <w:rsid w:val="00C3165F"/>
    <w:rPr>
      <w:rFonts w:ascii="Arial" w:hAnsi="Arial"/>
      <w:sz w:val="28"/>
      <w:szCs w:val="24"/>
    </w:rPr>
  </w:style>
  <w:style w:type="character" w:customStyle="1" w:styleId="FooterChar">
    <w:name w:val="Footer Char"/>
    <w:basedOn w:val="DefaultParagraphFont"/>
    <w:rsid w:val="00C3165F"/>
    <w:rPr>
      <w:rFonts w:ascii="Arial" w:hAnsi="Arial"/>
      <w:sz w:val="28"/>
      <w:szCs w:val="24"/>
    </w:rPr>
  </w:style>
  <w:style w:type="paragraph" w:styleId="Header">
    <w:name w:val="header"/>
    <w:basedOn w:val="Normal"/>
    <w:link w:val="HeaderChar"/>
    <w:uiPriority w:val="99"/>
    <w:rsid w:val="00C3165F"/>
    <w:pPr>
      <w:tabs>
        <w:tab w:val="center" w:pos="4153"/>
        <w:tab w:val="right" w:pos="8306"/>
      </w:tabs>
    </w:pPr>
  </w:style>
  <w:style w:type="character" w:customStyle="1" w:styleId="HeaderChar">
    <w:name w:val="Header Char"/>
    <w:basedOn w:val="DefaultParagraphFont"/>
    <w:link w:val="Header"/>
    <w:uiPriority w:val="99"/>
    <w:rsid w:val="00C3165F"/>
    <w:rPr>
      <w:rFonts w:ascii="Arial" w:hAnsi="Arial"/>
      <w:sz w:val="28"/>
      <w:szCs w:val="24"/>
    </w:rPr>
  </w:style>
  <w:style w:type="paragraph" w:styleId="Subtitle">
    <w:name w:val="Subtitle"/>
    <w:basedOn w:val="Normal"/>
    <w:next w:val="Normal"/>
    <w:link w:val="SubtitleChar"/>
    <w:qFormat/>
    <w:rsid w:val="00C3165F"/>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rsid w:val="00C3165F"/>
    <w:rPr>
      <w:rFonts w:ascii="Verdana" w:hAnsi="Verdana"/>
      <w:szCs w:val="24"/>
      <w:lang w:val="en-US" w:eastAsia="en-US"/>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C3165F"/>
    <w:pPr>
      <w:ind w:left="720"/>
    </w:pPr>
    <w:rPr>
      <w:rFonts w:ascii="Verdana" w:hAnsi="Verdana"/>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C3165F"/>
    <w:rPr>
      <w:rFonts w:ascii="Verdana" w:hAnsi="Verdana"/>
      <w:sz w:val="28"/>
      <w:szCs w:val="24"/>
      <w:lang w:eastAsia="en-US"/>
    </w:rPr>
  </w:style>
  <w:style w:type="paragraph" w:styleId="BalloonText">
    <w:name w:val="Balloon Text"/>
    <w:basedOn w:val="Normal"/>
    <w:link w:val="BalloonTextChar"/>
    <w:rsid w:val="00397ECB"/>
    <w:rPr>
      <w:rFonts w:ascii="Segoe UI" w:hAnsi="Segoe UI" w:cs="Segoe UI"/>
      <w:sz w:val="18"/>
      <w:szCs w:val="18"/>
    </w:rPr>
  </w:style>
  <w:style w:type="character" w:customStyle="1" w:styleId="BalloonTextChar">
    <w:name w:val="Balloon Text Char"/>
    <w:basedOn w:val="DefaultParagraphFont"/>
    <w:link w:val="BalloonText"/>
    <w:rsid w:val="00397ECB"/>
    <w:rPr>
      <w:rFonts w:ascii="Segoe UI" w:hAnsi="Segoe UI" w:cs="Segoe UI"/>
      <w:sz w:val="18"/>
      <w:szCs w:val="18"/>
    </w:rPr>
  </w:style>
  <w:style w:type="table" w:styleId="TableGrid">
    <w:name w:val="Table Grid"/>
    <w:basedOn w:val="TableNormal"/>
    <w:rsid w:val="007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25B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062971">
      <w:bodyDiv w:val="1"/>
      <w:marLeft w:val="0"/>
      <w:marRight w:val="0"/>
      <w:marTop w:val="0"/>
      <w:marBottom w:val="0"/>
      <w:divBdr>
        <w:top w:val="none" w:sz="0" w:space="0" w:color="auto"/>
        <w:left w:val="none" w:sz="0" w:space="0" w:color="auto"/>
        <w:bottom w:val="none" w:sz="0" w:space="0" w:color="auto"/>
        <w:right w:val="none" w:sz="0" w:space="0" w:color="auto"/>
      </w:divBdr>
    </w:div>
    <w:div w:id="1168593090">
      <w:bodyDiv w:val="1"/>
      <w:marLeft w:val="0"/>
      <w:marRight w:val="0"/>
      <w:marTop w:val="0"/>
      <w:marBottom w:val="0"/>
      <w:divBdr>
        <w:top w:val="none" w:sz="0" w:space="0" w:color="auto"/>
        <w:left w:val="none" w:sz="0" w:space="0" w:color="auto"/>
        <w:bottom w:val="none" w:sz="0" w:space="0" w:color="auto"/>
        <w:right w:val="none" w:sz="0" w:space="0" w:color="auto"/>
      </w:divBdr>
    </w:div>
    <w:div w:id="1189566078">
      <w:bodyDiv w:val="1"/>
      <w:marLeft w:val="0"/>
      <w:marRight w:val="0"/>
      <w:marTop w:val="0"/>
      <w:marBottom w:val="0"/>
      <w:divBdr>
        <w:top w:val="none" w:sz="0" w:space="0" w:color="auto"/>
        <w:left w:val="none" w:sz="0" w:space="0" w:color="auto"/>
        <w:bottom w:val="none" w:sz="0" w:space="0" w:color="auto"/>
        <w:right w:val="none" w:sz="0" w:space="0" w:color="auto"/>
      </w:divBdr>
    </w:div>
    <w:div w:id="1267809041">
      <w:bodyDiv w:val="1"/>
      <w:marLeft w:val="0"/>
      <w:marRight w:val="0"/>
      <w:marTop w:val="0"/>
      <w:marBottom w:val="0"/>
      <w:divBdr>
        <w:top w:val="none" w:sz="0" w:space="0" w:color="auto"/>
        <w:left w:val="none" w:sz="0" w:space="0" w:color="auto"/>
        <w:bottom w:val="none" w:sz="0" w:space="0" w:color="auto"/>
        <w:right w:val="none" w:sz="0" w:space="0" w:color="auto"/>
      </w:divBdr>
    </w:div>
    <w:div w:id="1465654040">
      <w:bodyDiv w:val="1"/>
      <w:marLeft w:val="0"/>
      <w:marRight w:val="0"/>
      <w:marTop w:val="0"/>
      <w:marBottom w:val="0"/>
      <w:divBdr>
        <w:top w:val="none" w:sz="0" w:space="0" w:color="auto"/>
        <w:left w:val="none" w:sz="0" w:space="0" w:color="auto"/>
        <w:bottom w:val="none" w:sz="0" w:space="0" w:color="auto"/>
        <w:right w:val="none" w:sz="0" w:space="0" w:color="auto"/>
      </w:divBdr>
    </w:div>
    <w:div w:id="1576621740">
      <w:bodyDiv w:val="1"/>
      <w:marLeft w:val="0"/>
      <w:marRight w:val="0"/>
      <w:marTop w:val="0"/>
      <w:marBottom w:val="0"/>
      <w:divBdr>
        <w:top w:val="none" w:sz="0" w:space="0" w:color="auto"/>
        <w:left w:val="none" w:sz="0" w:space="0" w:color="auto"/>
        <w:bottom w:val="none" w:sz="0" w:space="0" w:color="auto"/>
        <w:right w:val="none" w:sz="0" w:space="0" w:color="auto"/>
      </w:divBdr>
    </w:div>
    <w:div w:id="1587765789">
      <w:bodyDiv w:val="1"/>
      <w:marLeft w:val="0"/>
      <w:marRight w:val="0"/>
      <w:marTop w:val="0"/>
      <w:marBottom w:val="0"/>
      <w:divBdr>
        <w:top w:val="none" w:sz="0" w:space="0" w:color="auto"/>
        <w:left w:val="none" w:sz="0" w:space="0" w:color="auto"/>
        <w:bottom w:val="none" w:sz="0" w:space="0" w:color="auto"/>
        <w:right w:val="none" w:sz="0" w:space="0" w:color="auto"/>
      </w:divBdr>
    </w:div>
    <w:div w:id="1666010552">
      <w:bodyDiv w:val="1"/>
      <w:marLeft w:val="0"/>
      <w:marRight w:val="0"/>
      <w:marTop w:val="0"/>
      <w:marBottom w:val="0"/>
      <w:divBdr>
        <w:top w:val="none" w:sz="0" w:space="0" w:color="auto"/>
        <w:left w:val="none" w:sz="0" w:space="0" w:color="auto"/>
        <w:bottom w:val="none" w:sz="0" w:space="0" w:color="auto"/>
        <w:right w:val="none" w:sz="0" w:space="0" w:color="auto"/>
      </w:divBdr>
    </w:div>
    <w:div w:id="1868831398">
      <w:bodyDiv w:val="1"/>
      <w:marLeft w:val="0"/>
      <w:marRight w:val="0"/>
      <w:marTop w:val="0"/>
      <w:marBottom w:val="0"/>
      <w:divBdr>
        <w:top w:val="none" w:sz="0" w:space="0" w:color="auto"/>
        <w:left w:val="none" w:sz="0" w:space="0" w:color="auto"/>
        <w:bottom w:val="none" w:sz="0" w:space="0" w:color="auto"/>
        <w:right w:val="none" w:sz="0" w:space="0" w:color="auto"/>
      </w:divBdr>
    </w:div>
    <w:div w:id="205869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ales.nhs.uk/sitesplus/documents/1064/24729_Health%20Standards%20Framework_2015_E1.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les.nhs.uk/sitesplus/documents/1064/24729_Health%20Standards%20Framework_2015_E1.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ross.whitehead@wales.nhs.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D484F-9714-40EF-A10D-654C7265E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1ECE32A7</Template>
  <TotalTime>0</TotalTime>
  <Pages>7</Pages>
  <Words>2466</Words>
  <Characters>13580</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16014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Leeha Kostin (Cwm Taf UHB - NCCU)</dc:creator>
  <cp:keywords/>
  <dc:description/>
  <cp:lastModifiedBy>Gwenan Roberts (CTUHB - Corporate Services)</cp:lastModifiedBy>
  <cp:revision>3</cp:revision>
  <cp:lastPrinted>2018-10-10T12:08:00Z</cp:lastPrinted>
  <dcterms:created xsi:type="dcterms:W3CDTF">2019-11-06T17:33:00Z</dcterms:created>
  <dcterms:modified xsi:type="dcterms:W3CDTF">2019-11-07T16:51:00Z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-726845038</vt:i4>
  </property>
</Properties>
</file>