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7F1C" w:rsidRPr="00B17187" w:rsidRDefault="00D61173" w:rsidP="00D61173">
      <w:pPr>
        <w:jc w:val="center"/>
        <w:rPr>
          <w:b/>
          <w:sz w:val="28"/>
          <w:u w:val="single"/>
        </w:rPr>
      </w:pPr>
      <w:bookmarkStart w:id="0" w:name="_GoBack"/>
      <w:bookmarkEnd w:id="0"/>
      <w:r w:rsidRPr="00B17187">
        <w:rPr>
          <w:b/>
          <w:sz w:val="28"/>
          <w:u w:val="single"/>
        </w:rPr>
        <w:t>1000 Beds or Equivalent Community Service Closure Report</w:t>
      </w:r>
    </w:p>
    <w:p w:rsidR="00D61173" w:rsidRPr="00B17187" w:rsidRDefault="00A44618" w:rsidP="00E47ADF">
      <w:pPr>
        <w:tabs>
          <w:tab w:val="left" w:pos="3225"/>
        </w:tabs>
        <w:rPr>
          <w:b/>
          <w:i/>
          <w:u w:val="single"/>
        </w:rPr>
      </w:pPr>
      <w:r w:rsidRPr="00B17187">
        <w:rPr>
          <w:b/>
          <w:i/>
          <w:u w:val="single"/>
        </w:rPr>
        <w:t>Background</w:t>
      </w:r>
    </w:p>
    <w:p w:rsidR="001A1AB8" w:rsidRDefault="00E47ADF" w:rsidP="001A1AB8">
      <w:pPr>
        <w:tabs>
          <w:tab w:val="left" w:pos="3225"/>
        </w:tabs>
      </w:pPr>
      <w:r w:rsidRPr="00E47ADF">
        <w:t xml:space="preserve">On the 15th May 2023, the NHS Leadership team commissioned a </w:t>
      </w:r>
      <w:r w:rsidR="00CA1DE3">
        <w:t xml:space="preserve">programme </w:t>
      </w:r>
      <w:r w:rsidRPr="00E47ADF">
        <w:t xml:space="preserve">of work </w:t>
      </w:r>
      <w:r w:rsidR="00B06589">
        <w:t>to provide</w:t>
      </w:r>
      <w:r w:rsidR="00CA1DE3">
        <w:t xml:space="preserve"> an </w:t>
      </w:r>
      <w:r w:rsidR="00B06589">
        <w:t xml:space="preserve">additional </w:t>
      </w:r>
      <w:r w:rsidR="00B06589" w:rsidRPr="00E47ADF">
        <w:t>1000</w:t>
      </w:r>
      <w:r w:rsidRPr="00E47ADF">
        <w:t xml:space="preserve"> beds or equivalent </w:t>
      </w:r>
      <w:r w:rsidR="00CA1DE3">
        <w:t xml:space="preserve">community </w:t>
      </w:r>
      <w:r w:rsidR="00A44618">
        <w:t>services for winter</w:t>
      </w:r>
      <w:r w:rsidR="00CA1DE3">
        <w:t xml:space="preserve"> 2023</w:t>
      </w:r>
      <w:r w:rsidR="00A44618">
        <w:t xml:space="preserve"> </w:t>
      </w:r>
      <w:r w:rsidR="00CA1DE3">
        <w:t>to ease system pressure and reduce anticipated delayed discharges</w:t>
      </w:r>
      <w:r w:rsidR="008A1C2E">
        <w:t xml:space="preserve">. </w:t>
      </w:r>
      <w:r w:rsidR="00CA1DE3">
        <w:t>Th</w:t>
      </w:r>
      <w:r w:rsidR="001A573F">
        <w:t>e programme was commenced as a joint endeavour</w:t>
      </w:r>
      <w:r w:rsidR="00A44618">
        <w:t xml:space="preserve"> between Health</w:t>
      </w:r>
      <w:r w:rsidR="001A1AB8">
        <w:t xml:space="preserve"> and</w:t>
      </w:r>
      <w:r w:rsidR="00CA1DE3">
        <w:t xml:space="preserve"> Adult </w:t>
      </w:r>
      <w:r w:rsidR="001A1AB8">
        <w:t>Social Care</w:t>
      </w:r>
      <w:r w:rsidR="005F0B10">
        <w:t xml:space="preserve"> (ASC)</w:t>
      </w:r>
      <w:r w:rsidR="001A1AB8">
        <w:t xml:space="preserve">, </w:t>
      </w:r>
      <w:r w:rsidR="00CA1DE3">
        <w:t>with Welsh</w:t>
      </w:r>
      <w:r w:rsidR="004E5AD9">
        <w:t xml:space="preserve"> Local Government</w:t>
      </w:r>
      <w:r w:rsidR="005F0B10">
        <w:t xml:space="preserve"> Association (WLGA)</w:t>
      </w:r>
      <w:r w:rsidR="00CA1DE3">
        <w:t xml:space="preserve"> </w:t>
      </w:r>
      <w:r w:rsidR="000E180C">
        <w:t>support</w:t>
      </w:r>
      <w:r w:rsidR="000D17A7">
        <w:t>.</w:t>
      </w:r>
      <w:r w:rsidR="005F0B10">
        <w:t xml:space="preserve"> </w:t>
      </w:r>
      <w:r w:rsidR="002E7D25">
        <w:t xml:space="preserve">Additionally there was engagement </w:t>
      </w:r>
      <w:r w:rsidR="001A1AB8">
        <w:t>with Care Forum Wales, Social Care Wales</w:t>
      </w:r>
      <w:r w:rsidR="00FF0BA5">
        <w:t xml:space="preserve"> (SCW)</w:t>
      </w:r>
      <w:r w:rsidR="005F0B10">
        <w:t xml:space="preserve"> </w:t>
      </w:r>
      <w:r w:rsidR="00FF0BA5">
        <w:t>and Health</w:t>
      </w:r>
      <w:r w:rsidR="005F0B10">
        <w:t xml:space="preserve"> Education in Wales (HEIW).  T</w:t>
      </w:r>
      <w:r>
        <w:t>he below governance structure</w:t>
      </w:r>
      <w:r w:rsidR="005F0B10">
        <w:t xml:space="preserve"> </w:t>
      </w:r>
      <w:r w:rsidR="002E7D25">
        <w:t>provided</w:t>
      </w:r>
      <w:r w:rsidR="005F0B10">
        <w:t xml:space="preserve"> regular reporting to Welsh Government (WG) v</w:t>
      </w:r>
      <w:r w:rsidR="00CC185C">
        <w:t>ia Care Action Committee (CAC).</w:t>
      </w:r>
    </w:p>
    <w:p w:rsidR="00F42CED" w:rsidRPr="00F42CED" w:rsidRDefault="00F42CED" w:rsidP="001A1AB8">
      <w:pPr>
        <w:tabs>
          <w:tab w:val="left" w:pos="3225"/>
        </w:tabs>
        <w:rPr>
          <w:i/>
        </w:rPr>
      </w:pPr>
      <w:r w:rsidRPr="00F42CED">
        <w:rPr>
          <w:i/>
        </w:rPr>
        <w:t>Figure 1- Governance Structure</w:t>
      </w:r>
    </w:p>
    <w:p w:rsidR="001C41BB" w:rsidRDefault="004E5AD9" w:rsidP="001A1AB8">
      <w:pPr>
        <w:tabs>
          <w:tab w:val="left" w:pos="3225"/>
        </w:tabs>
      </w:pPr>
      <w:r w:rsidRPr="004E5AD9">
        <w:rPr>
          <w:noProof/>
          <w:lang w:eastAsia="en-GB"/>
        </w:rPr>
        <w:drawing>
          <wp:inline distT="0" distB="0" distL="0" distR="0" wp14:anchorId="372AE82F" wp14:editId="041A2B58">
            <wp:extent cx="5731510" cy="3223895"/>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31510" cy="3223895"/>
                    </a:xfrm>
                    <a:prstGeom prst="rect">
                      <a:avLst/>
                    </a:prstGeom>
                  </pic:spPr>
                </pic:pic>
              </a:graphicData>
            </a:graphic>
          </wp:inline>
        </w:drawing>
      </w:r>
    </w:p>
    <w:p w:rsidR="001C41BB" w:rsidRDefault="001C41BB" w:rsidP="001A1AB8">
      <w:pPr>
        <w:tabs>
          <w:tab w:val="left" w:pos="3225"/>
        </w:tabs>
      </w:pPr>
    </w:p>
    <w:p w:rsidR="009A0AE9" w:rsidRDefault="009A0AE9" w:rsidP="001A1AB8">
      <w:pPr>
        <w:tabs>
          <w:tab w:val="left" w:pos="3225"/>
        </w:tabs>
      </w:pPr>
      <w:r>
        <w:t>The Governance structure in place re-enforced the Joint Endeavour ethos and sought to ensure no one partner was perceived as leading this work.  It was recognised that the success of this programme and the longer term Strategic/Transformational change required is dependent on joint design, ownership and accountability between Health and Local Government.</w:t>
      </w:r>
    </w:p>
    <w:p w:rsidR="00A44618" w:rsidRDefault="00A44618" w:rsidP="001A1AB8">
      <w:pPr>
        <w:tabs>
          <w:tab w:val="left" w:pos="3225"/>
        </w:tabs>
        <w:rPr>
          <w:b/>
          <w:i/>
          <w:u w:val="single"/>
        </w:rPr>
      </w:pPr>
      <w:r w:rsidRPr="00B17187">
        <w:rPr>
          <w:b/>
          <w:i/>
          <w:u w:val="single"/>
        </w:rPr>
        <w:t>Discovery</w:t>
      </w:r>
    </w:p>
    <w:p w:rsidR="005F0B10" w:rsidRPr="000D17A7" w:rsidRDefault="005F0B10" w:rsidP="001A1AB8">
      <w:pPr>
        <w:tabs>
          <w:tab w:val="left" w:pos="3225"/>
        </w:tabs>
        <w:rPr>
          <w:bCs/>
          <w:iCs/>
        </w:rPr>
      </w:pPr>
      <w:r>
        <w:rPr>
          <w:bCs/>
          <w:iCs/>
        </w:rPr>
        <w:t xml:space="preserve">A task team was established </w:t>
      </w:r>
      <w:r w:rsidR="002E7D25">
        <w:rPr>
          <w:bCs/>
          <w:iCs/>
        </w:rPr>
        <w:t xml:space="preserve">with </w:t>
      </w:r>
      <w:r>
        <w:rPr>
          <w:bCs/>
          <w:iCs/>
        </w:rPr>
        <w:t xml:space="preserve">representation from </w:t>
      </w:r>
      <w:r w:rsidR="00AF6EDA">
        <w:rPr>
          <w:bCs/>
          <w:iCs/>
        </w:rPr>
        <w:t>health and social care including amongst others, the Delivery Unit (DU) Transformation Team, Adult Directors of Social Services Cymru (ADSSC), HEIW and SCW.</w:t>
      </w:r>
    </w:p>
    <w:p w:rsidR="004E5AD9" w:rsidRDefault="00AF6EDA" w:rsidP="001A1AB8">
      <w:pPr>
        <w:tabs>
          <w:tab w:val="left" w:pos="3225"/>
        </w:tabs>
      </w:pPr>
      <w:r>
        <w:t xml:space="preserve"> Initial activity </w:t>
      </w:r>
      <w:r w:rsidR="001A1AB8">
        <w:t>focussed on data collec</w:t>
      </w:r>
      <w:r>
        <w:t>tion</w:t>
      </w:r>
      <w:r w:rsidR="001A1AB8">
        <w:t xml:space="preserve">, </w:t>
      </w:r>
      <w:r>
        <w:t xml:space="preserve">and </w:t>
      </w:r>
      <w:r w:rsidR="000A1002">
        <w:t>risks at a l</w:t>
      </w:r>
      <w:r w:rsidR="001A1AB8">
        <w:t>ocality level within each Region</w:t>
      </w:r>
      <w:r>
        <w:t xml:space="preserve">. </w:t>
      </w:r>
      <w:r w:rsidR="002E7D25">
        <w:t>Initial</w:t>
      </w:r>
      <w:r>
        <w:t xml:space="preserve"> meetings were established with executive leads from HB and ASC to </w:t>
      </w:r>
      <w:r w:rsidR="005C21D7">
        <w:t>discuss the risks, opportunities and their proposed</w:t>
      </w:r>
      <w:r w:rsidR="001A1AB8">
        <w:t xml:space="preserve"> plans. </w:t>
      </w:r>
      <w:r w:rsidR="005C21D7">
        <w:t>D</w:t>
      </w:r>
      <w:r w:rsidR="004E5AD9">
        <w:t xml:space="preserve">ata presented </w:t>
      </w:r>
      <w:r w:rsidR="005C21D7">
        <w:t xml:space="preserve">to the regions by the task team at the initial meetings </w:t>
      </w:r>
      <w:r w:rsidR="004E5AD9">
        <w:t>included the National Hospital Bed</w:t>
      </w:r>
      <w:r w:rsidR="001A573F">
        <w:t xml:space="preserve"> Occupancy, Delayed Discharges, Day</w:t>
      </w:r>
      <w:r w:rsidR="004E5AD9">
        <w:t xml:space="preserve"> of Care Audit</w:t>
      </w:r>
      <w:r w:rsidR="000E3BE6">
        <w:t xml:space="preserve">s, Rightsizing programme, DEWIS, </w:t>
      </w:r>
      <w:r w:rsidR="00F2542F">
        <w:t>Social</w:t>
      </w:r>
      <w:r w:rsidR="000E3BE6">
        <w:t xml:space="preserve"> Care Checkpoint Dataset and bespoke questionnaires. </w:t>
      </w:r>
      <w:r w:rsidR="004E5AD9">
        <w:t xml:space="preserve"> </w:t>
      </w:r>
    </w:p>
    <w:p w:rsidR="001A1AB8" w:rsidRDefault="004E5AD9" w:rsidP="001A1AB8">
      <w:pPr>
        <w:tabs>
          <w:tab w:val="left" w:pos="3225"/>
        </w:tabs>
      </w:pPr>
      <w:r>
        <w:lastRenderedPageBreak/>
        <w:t>The themes and demonstrated learning</w:t>
      </w:r>
      <w:r w:rsidR="000D17A7">
        <w:t xml:space="preserve"> from these initial meetings</w:t>
      </w:r>
      <w:r w:rsidR="00E47ADF">
        <w:t xml:space="preserve"> include</w:t>
      </w:r>
      <w:r w:rsidR="00CA6A29">
        <w:t>d</w:t>
      </w:r>
      <w:r w:rsidR="00E47ADF">
        <w:t>:</w:t>
      </w:r>
    </w:p>
    <w:p w:rsidR="000D17A7" w:rsidRDefault="000D17A7" w:rsidP="000D17A7">
      <w:pPr>
        <w:pStyle w:val="ListParagraph"/>
        <w:numPr>
          <w:ilvl w:val="0"/>
          <w:numId w:val="6"/>
        </w:numPr>
        <w:tabs>
          <w:tab w:val="left" w:pos="3225"/>
        </w:tabs>
      </w:pPr>
      <w:r>
        <w:t xml:space="preserve">There was limited recognition of the nationally held data presented. </w:t>
      </w:r>
    </w:p>
    <w:p w:rsidR="000D17A7" w:rsidRDefault="000D17A7" w:rsidP="008A1C2E">
      <w:pPr>
        <w:numPr>
          <w:ilvl w:val="0"/>
          <w:numId w:val="6"/>
        </w:numPr>
        <w:tabs>
          <w:tab w:val="left" w:pos="3225"/>
        </w:tabs>
        <w:spacing w:after="0" w:line="240" w:lineRule="auto"/>
      </w:pPr>
      <w:r>
        <w:t>A greater understanding of each orga</w:t>
      </w:r>
      <w:r w:rsidR="000A1002">
        <w:t xml:space="preserve">nisations data and processes was </w:t>
      </w:r>
      <w:r>
        <w:t xml:space="preserve">required at a regional level to ensure focus in the correct place to maximise outcomes – knowing their </w:t>
      </w:r>
      <w:r w:rsidR="000A1002">
        <w:t xml:space="preserve">numbers.  There was </w:t>
      </w:r>
      <w:r>
        <w:t>a huge amount of data available and this needs to be reviewed as “whole system” level by the Regions;</w:t>
      </w:r>
    </w:p>
    <w:p w:rsidR="001A1AB8" w:rsidRDefault="005C21D7" w:rsidP="008A1C2E">
      <w:pPr>
        <w:numPr>
          <w:ilvl w:val="0"/>
          <w:numId w:val="6"/>
        </w:numPr>
        <w:tabs>
          <w:tab w:val="left" w:pos="3225"/>
        </w:tabs>
        <w:spacing w:after="0" w:line="240" w:lineRule="auto"/>
      </w:pPr>
      <w:r>
        <w:t>Partnerships and r</w:t>
      </w:r>
      <w:r w:rsidR="001A1AB8">
        <w:t xml:space="preserve">elationships appeared stronger in some </w:t>
      </w:r>
      <w:r>
        <w:t xml:space="preserve">regions </w:t>
      </w:r>
      <w:r w:rsidR="001A1AB8">
        <w:t>when observing the discussions and reviewing plans submitted;</w:t>
      </w:r>
    </w:p>
    <w:p w:rsidR="001A1AB8" w:rsidRDefault="000A1002" w:rsidP="00B17187">
      <w:pPr>
        <w:numPr>
          <w:ilvl w:val="0"/>
          <w:numId w:val="6"/>
        </w:numPr>
        <w:tabs>
          <w:tab w:val="left" w:pos="3225"/>
        </w:tabs>
        <w:spacing w:after="0" w:line="240" w:lineRule="auto"/>
      </w:pPr>
      <w:r>
        <w:t>There were</w:t>
      </w:r>
      <w:r w:rsidR="001A1AB8">
        <w:t xml:space="preserve"> already </w:t>
      </w:r>
      <w:r w:rsidR="005C21D7">
        <w:t xml:space="preserve">some </w:t>
      </w:r>
      <w:r w:rsidR="001A1AB8">
        <w:t>excellent examples of models of care across health and social care which seek to reduce harm;</w:t>
      </w:r>
    </w:p>
    <w:p w:rsidR="001A1AB8" w:rsidRDefault="001A1AB8" w:rsidP="00B17187">
      <w:pPr>
        <w:numPr>
          <w:ilvl w:val="0"/>
          <w:numId w:val="6"/>
        </w:numPr>
        <w:tabs>
          <w:tab w:val="left" w:pos="3225"/>
        </w:tabs>
        <w:spacing w:after="0" w:line="240" w:lineRule="auto"/>
      </w:pPr>
      <w:r>
        <w:t>An acknowledgm</w:t>
      </w:r>
      <w:r w:rsidR="000A1002">
        <w:t xml:space="preserve">ent that delayed discharges were </w:t>
      </w:r>
      <w:r>
        <w:t>also due to Hospital processes and the need to share the work being undertaken to address these inefficiencies;</w:t>
      </w:r>
    </w:p>
    <w:p w:rsidR="001A1AB8" w:rsidRDefault="001A1AB8" w:rsidP="00B17187">
      <w:pPr>
        <w:numPr>
          <w:ilvl w:val="0"/>
          <w:numId w:val="6"/>
        </w:numPr>
        <w:tabs>
          <w:tab w:val="left" w:pos="3225"/>
        </w:tabs>
        <w:spacing w:after="0" w:line="240" w:lineRule="auto"/>
      </w:pPr>
      <w:r>
        <w:t>Regulatory issues and registration issues of staff can create</w:t>
      </w:r>
      <w:r w:rsidR="000A1002">
        <w:t>d</w:t>
      </w:r>
      <w:r>
        <w:t xml:space="preserve"> barriers and National discussions with regulators in relation to risk balance would be welcomed;</w:t>
      </w:r>
    </w:p>
    <w:p w:rsidR="001A1AB8" w:rsidRDefault="000A1002" w:rsidP="00B17187">
      <w:pPr>
        <w:numPr>
          <w:ilvl w:val="0"/>
          <w:numId w:val="6"/>
        </w:numPr>
        <w:tabs>
          <w:tab w:val="left" w:pos="3225"/>
        </w:tabs>
        <w:spacing w:after="0" w:line="240" w:lineRule="auto"/>
      </w:pPr>
      <w:r>
        <w:t xml:space="preserve">D2RA pathways were </w:t>
      </w:r>
      <w:r w:rsidR="001A1AB8">
        <w:t>n</w:t>
      </w:r>
      <w:r>
        <w:t xml:space="preserve">ot embedded and further work was </w:t>
      </w:r>
      <w:r w:rsidR="001A1AB8">
        <w:t>required (being undertaken via Goals 5 &amp; 6) to embed D2RA and support local implementation;</w:t>
      </w:r>
    </w:p>
    <w:p w:rsidR="001A1AB8" w:rsidRDefault="000A1002" w:rsidP="00B17187">
      <w:pPr>
        <w:numPr>
          <w:ilvl w:val="0"/>
          <w:numId w:val="6"/>
        </w:numPr>
        <w:tabs>
          <w:tab w:val="left" w:pos="3225"/>
        </w:tabs>
        <w:spacing w:after="0" w:line="240" w:lineRule="auto"/>
      </w:pPr>
      <w:r>
        <w:t>There was</w:t>
      </w:r>
      <w:r w:rsidR="001A1AB8">
        <w:t xml:space="preserve"> no consistent optimising hospital care principles in Wales i.e. SAFER, Red to Green and full acknowledgement that an All Wales Framework would be beneficial, which in turn would be aligned to daily reporting and escalation;</w:t>
      </w:r>
    </w:p>
    <w:p w:rsidR="001A1AB8" w:rsidRDefault="001A1AB8" w:rsidP="00B17187">
      <w:pPr>
        <w:numPr>
          <w:ilvl w:val="0"/>
          <w:numId w:val="6"/>
        </w:numPr>
        <w:tabs>
          <w:tab w:val="left" w:pos="3225"/>
        </w:tabs>
        <w:spacing w:after="0" w:line="240" w:lineRule="auto"/>
      </w:pPr>
      <w:r>
        <w:t>That the core cons</w:t>
      </w:r>
      <w:r w:rsidR="000A1002">
        <w:t>traint was</w:t>
      </w:r>
      <w:r>
        <w:t xml:space="preserve"> social care workforce and that un</w:t>
      </w:r>
      <w:r w:rsidR="001A573F">
        <w:t xml:space="preserve">til a sustainable workforce could </w:t>
      </w:r>
      <w:r>
        <w:t>be recrui</w:t>
      </w:r>
      <w:r w:rsidR="000A1002">
        <w:t>ted and retained the system would</w:t>
      </w:r>
      <w:r>
        <w:t xml:space="preserve"> not be able to meet the needs of its people in terms of getting to the right place, first time.</w:t>
      </w:r>
    </w:p>
    <w:p w:rsidR="00112101" w:rsidRDefault="00112101" w:rsidP="00112101">
      <w:pPr>
        <w:tabs>
          <w:tab w:val="left" w:pos="3225"/>
        </w:tabs>
        <w:spacing w:after="0" w:line="240" w:lineRule="auto"/>
      </w:pPr>
    </w:p>
    <w:p w:rsidR="00112101" w:rsidRDefault="00112101" w:rsidP="00112101">
      <w:pPr>
        <w:tabs>
          <w:tab w:val="left" w:pos="3225"/>
        </w:tabs>
        <w:spacing w:after="0" w:line="240" w:lineRule="auto"/>
      </w:pPr>
      <w:r>
        <w:t>A key outcome of this initial discovery was the estimated demand &amp; capacity gap in domiciliary</w:t>
      </w:r>
      <w:r w:rsidR="00546061">
        <w:t xml:space="preserve"> and reablement care</w:t>
      </w:r>
      <w:r>
        <w:t>, estimated to be</w:t>
      </w:r>
      <w:r w:rsidR="005F3B2D">
        <w:t xml:space="preserve"> approximately</w:t>
      </w:r>
      <w:r>
        <w:t xml:space="preserve"> 25,000 hours per week</w:t>
      </w:r>
      <w:r w:rsidR="00ED10F2">
        <w:t xml:space="preserve"> across Wales</w:t>
      </w:r>
      <w:r>
        <w:t>. This was the first nationall</w:t>
      </w:r>
      <w:r w:rsidR="00AB03B0">
        <w:t>y recognised estimate based on questionnaire responses from</w:t>
      </w:r>
      <w:r w:rsidR="002E7D25">
        <w:t xml:space="preserve"> ASC</w:t>
      </w:r>
      <w:r w:rsidR="00AB03B0">
        <w:t xml:space="preserve">. However, this was a </w:t>
      </w:r>
      <w:r w:rsidR="00C761A9">
        <w:t xml:space="preserve">snapshot of data in the absence of </w:t>
      </w:r>
      <w:r w:rsidR="00C875CD">
        <w:t xml:space="preserve">standard, regulated data capture. </w:t>
      </w:r>
      <w:r w:rsidR="00AB03B0">
        <w:t xml:space="preserve"> </w:t>
      </w:r>
    </w:p>
    <w:p w:rsidR="000A1002" w:rsidRDefault="000A1002" w:rsidP="00D61173">
      <w:pPr>
        <w:jc w:val="both"/>
      </w:pPr>
    </w:p>
    <w:p w:rsidR="00F2542F" w:rsidRDefault="008A1C2E" w:rsidP="00D61173">
      <w:pPr>
        <w:jc w:val="both"/>
      </w:pPr>
      <w:r>
        <w:t xml:space="preserve">It was </w:t>
      </w:r>
      <w:r w:rsidR="00F2542F">
        <w:t xml:space="preserve">acknowledged that </w:t>
      </w:r>
      <w:r>
        <w:t>this work programme would not address some of the identified themes</w:t>
      </w:r>
      <w:r w:rsidR="00F2542F">
        <w:t xml:space="preserve"> as they sit within the medium to long term transformational programmes. </w:t>
      </w:r>
      <w:r w:rsidR="00C761A9">
        <w:t xml:space="preserve">The priority was to support the regions with the growth of community capacity to improve outcomes for our population by using resources to maximum </w:t>
      </w:r>
      <w:r w:rsidR="001051C6">
        <w:t>effect</w:t>
      </w:r>
      <w:r w:rsidR="00C761A9">
        <w:t xml:space="preserve"> and minimise harm. </w:t>
      </w:r>
    </w:p>
    <w:p w:rsidR="00105FFD" w:rsidRPr="00B17187" w:rsidRDefault="00105FFD" w:rsidP="00D61173">
      <w:pPr>
        <w:jc w:val="both"/>
        <w:rPr>
          <w:b/>
          <w:i/>
          <w:u w:val="single"/>
        </w:rPr>
      </w:pPr>
      <w:r w:rsidRPr="00B17187">
        <w:rPr>
          <w:b/>
          <w:i/>
          <w:u w:val="single"/>
        </w:rPr>
        <w:t>Design</w:t>
      </w:r>
    </w:p>
    <w:p w:rsidR="009E615E" w:rsidRDefault="00105FFD" w:rsidP="00D61173">
      <w:pPr>
        <w:jc w:val="both"/>
      </w:pPr>
      <w:r>
        <w:t xml:space="preserve">Following the joint endeavour purpose </w:t>
      </w:r>
      <w:r w:rsidR="00C4725B">
        <w:t xml:space="preserve">the structure of the programme needed to reflect this and therefore the </w:t>
      </w:r>
      <w:r w:rsidR="008A1C2E">
        <w:t>bi-weekly,</w:t>
      </w:r>
      <w:r w:rsidR="00C4725B">
        <w:t xml:space="preserve"> meetings were held with both </w:t>
      </w:r>
      <w:r w:rsidR="00ED10F2">
        <w:t>H</w:t>
      </w:r>
      <w:r w:rsidR="00C4725B">
        <w:t xml:space="preserve">ealth and </w:t>
      </w:r>
      <w:r w:rsidR="00ED10F2">
        <w:t>S</w:t>
      </w:r>
      <w:r w:rsidR="00C4725B">
        <w:t xml:space="preserve">ocial </w:t>
      </w:r>
      <w:r w:rsidR="00ED10F2">
        <w:t>C</w:t>
      </w:r>
      <w:r w:rsidR="00C4725B">
        <w:t xml:space="preserve">are partners across </w:t>
      </w:r>
      <w:r w:rsidR="00917E7F">
        <w:t>each of</w:t>
      </w:r>
      <w:r w:rsidR="00C4725B">
        <w:t xml:space="preserve"> the regions. This </w:t>
      </w:r>
      <w:r w:rsidR="00917E7F">
        <w:t xml:space="preserve">joint representation </w:t>
      </w:r>
      <w:r w:rsidR="00C4725B">
        <w:t>was seen to be crucial in the</w:t>
      </w:r>
      <w:r w:rsidR="00917E7F">
        <w:t xml:space="preserve"> joint ownership of the design</w:t>
      </w:r>
      <w:r w:rsidR="001051C6">
        <w:t xml:space="preserve"> and delivery</w:t>
      </w:r>
      <w:r w:rsidR="00917E7F">
        <w:t>. A</w:t>
      </w:r>
      <w:r w:rsidR="00C4725B">
        <w:t xml:space="preserve">lthough there </w:t>
      </w:r>
      <w:r w:rsidR="00ED10F2">
        <w:t>were</w:t>
      </w:r>
      <w:r w:rsidR="00C4725B">
        <w:t xml:space="preserve"> initial </w:t>
      </w:r>
      <w:r w:rsidR="00AC54AF">
        <w:t>reservation</w:t>
      </w:r>
      <w:r w:rsidR="00ED10F2">
        <w:t>s</w:t>
      </w:r>
      <w:r w:rsidR="00AC54AF">
        <w:t xml:space="preserve"> with the focus on delayed discharges rather than prevention,</w:t>
      </w:r>
      <w:r w:rsidR="001051C6">
        <w:t xml:space="preserve"> it </w:t>
      </w:r>
      <w:r w:rsidR="00ED10F2">
        <w:t>was acknowledged</w:t>
      </w:r>
      <w:r w:rsidR="00AC54AF">
        <w:t xml:space="preserve"> </w:t>
      </w:r>
      <w:r w:rsidR="001E09F4">
        <w:t xml:space="preserve">that the </w:t>
      </w:r>
      <w:r w:rsidR="00C875CD">
        <w:t xml:space="preserve">immediate </w:t>
      </w:r>
      <w:r w:rsidR="001051C6">
        <w:t xml:space="preserve">system </w:t>
      </w:r>
      <w:r w:rsidR="00AC54AF">
        <w:t xml:space="preserve">risk </w:t>
      </w:r>
      <w:r w:rsidR="00917E7F">
        <w:t xml:space="preserve">and potential </w:t>
      </w:r>
      <w:r w:rsidR="001051C6">
        <w:t xml:space="preserve">harm through </w:t>
      </w:r>
      <w:r w:rsidR="00917E7F">
        <w:t xml:space="preserve">delayed discharges </w:t>
      </w:r>
      <w:r w:rsidR="001051C6">
        <w:t xml:space="preserve">was the </w:t>
      </w:r>
      <w:r w:rsidR="000E180C">
        <w:t>short-term</w:t>
      </w:r>
      <w:r w:rsidR="001051C6">
        <w:t xml:space="preserve"> </w:t>
      </w:r>
      <w:r w:rsidR="00ED10F2">
        <w:t>priority, which</w:t>
      </w:r>
      <w:r w:rsidR="001051C6">
        <w:t xml:space="preserve"> </w:t>
      </w:r>
      <w:r w:rsidR="000E180C">
        <w:t>would</w:t>
      </w:r>
      <w:r w:rsidR="001051C6">
        <w:t xml:space="preserve"> be supported by </w:t>
      </w:r>
      <w:r w:rsidR="00C875CD">
        <w:t xml:space="preserve">parallel work </w:t>
      </w:r>
      <w:r w:rsidR="001051C6">
        <w:t xml:space="preserve">on prevention and hospital avoidance. </w:t>
      </w:r>
    </w:p>
    <w:p w:rsidR="009E615E" w:rsidRDefault="009E615E" w:rsidP="00D61173">
      <w:pPr>
        <w:jc w:val="both"/>
      </w:pPr>
      <w:r>
        <w:t xml:space="preserve">By assessing the current themes of the </w:t>
      </w:r>
      <w:r w:rsidR="008A1C2E">
        <w:t>data,</w:t>
      </w:r>
      <w:r>
        <w:t xml:space="preserve"> available two main capacity growth areas were identified:</w:t>
      </w:r>
    </w:p>
    <w:p w:rsidR="009E615E" w:rsidRDefault="009E615E" w:rsidP="009E615E">
      <w:pPr>
        <w:pStyle w:val="ListParagraph"/>
        <w:numPr>
          <w:ilvl w:val="0"/>
          <w:numId w:val="4"/>
        </w:numPr>
        <w:jc w:val="both"/>
      </w:pPr>
      <w:r>
        <w:t>Physical Bedded Capacity (Hospital and Care Home Beds)</w:t>
      </w:r>
    </w:p>
    <w:p w:rsidR="009E615E" w:rsidRDefault="009E615E" w:rsidP="009E615E">
      <w:pPr>
        <w:pStyle w:val="ListParagraph"/>
        <w:numPr>
          <w:ilvl w:val="0"/>
          <w:numId w:val="4"/>
        </w:numPr>
        <w:jc w:val="both"/>
      </w:pPr>
      <w:r>
        <w:t xml:space="preserve">Community </w:t>
      </w:r>
      <w:r w:rsidR="000E3BE6">
        <w:t>Capacity (E.g. Domiciliary and Reablement Care)</w:t>
      </w:r>
    </w:p>
    <w:p w:rsidR="00AB03B0" w:rsidRDefault="00112101" w:rsidP="00112101">
      <w:pPr>
        <w:jc w:val="both"/>
      </w:pPr>
      <w:r>
        <w:lastRenderedPageBreak/>
        <w:t xml:space="preserve">There was also an </w:t>
      </w:r>
      <w:r w:rsidR="008A1C2E">
        <w:t>acknowledgement of</w:t>
      </w:r>
      <w:r w:rsidR="000E180C">
        <w:t xml:space="preserve"> </w:t>
      </w:r>
      <w:r w:rsidR="008A1C2E">
        <w:t>efficiencies, which</w:t>
      </w:r>
      <w:r w:rsidR="000E180C">
        <w:t xml:space="preserve"> could </w:t>
      </w:r>
      <w:r>
        <w:t xml:space="preserve">further maximise capacity without the need to grow resource allocation. Therefore, the third category would focus on efficiency release such as reductions in hospital length of stay. </w:t>
      </w:r>
    </w:p>
    <w:p w:rsidR="00D81B78" w:rsidRDefault="00D81B78" w:rsidP="00112101">
      <w:pPr>
        <w:jc w:val="both"/>
      </w:pPr>
      <w:r>
        <w:t xml:space="preserve">The final element of design was the production of a reporting </w:t>
      </w:r>
      <w:r w:rsidR="008A1C2E">
        <w:t>template, which</w:t>
      </w:r>
      <w:r>
        <w:t xml:space="preserve"> outlined: </w:t>
      </w:r>
    </w:p>
    <w:p w:rsidR="00D81B78" w:rsidRDefault="00D81B78" w:rsidP="00D81B78">
      <w:pPr>
        <w:pStyle w:val="ListParagraph"/>
        <w:numPr>
          <w:ilvl w:val="0"/>
          <w:numId w:val="5"/>
        </w:numPr>
        <w:jc w:val="both"/>
      </w:pPr>
      <w:r>
        <w:t>Scheme Narrative</w:t>
      </w:r>
    </w:p>
    <w:p w:rsidR="00D81B78" w:rsidRDefault="00D81B78" w:rsidP="00D81B78">
      <w:pPr>
        <w:pStyle w:val="ListParagraph"/>
        <w:numPr>
          <w:ilvl w:val="0"/>
          <w:numId w:val="5"/>
        </w:numPr>
        <w:jc w:val="both"/>
      </w:pPr>
      <w:r>
        <w:t>Type of capacity</w:t>
      </w:r>
    </w:p>
    <w:p w:rsidR="00D81B78" w:rsidRDefault="00D81B78" w:rsidP="00D81B78">
      <w:pPr>
        <w:pStyle w:val="ListParagraph"/>
        <w:numPr>
          <w:ilvl w:val="0"/>
          <w:numId w:val="5"/>
        </w:numPr>
        <w:jc w:val="both"/>
      </w:pPr>
      <w:r>
        <w:t>Organisational Lead</w:t>
      </w:r>
    </w:p>
    <w:p w:rsidR="00D81B78" w:rsidRDefault="00D81B78" w:rsidP="00D81B78">
      <w:pPr>
        <w:pStyle w:val="ListParagraph"/>
        <w:numPr>
          <w:ilvl w:val="0"/>
          <w:numId w:val="5"/>
        </w:numPr>
        <w:jc w:val="both"/>
      </w:pPr>
      <w:r>
        <w:t>New or Repurposed capacity</w:t>
      </w:r>
    </w:p>
    <w:p w:rsidR="00D81B78" w:rsidRDefault="00D81B78" w:rsidP="00D81B78">
      <w:pPr>
        <w:pStyle w:val="ListParagraph"/>
        <w:numPr>
          <w:ilvl w:val="0"/>
          <w:numId w:val="5"/>
        </w:numPr>
        <w:jc w:val="both"/>
      </w:pPr>
      <w:r>
        <w:t xml:space="preserve">Final Projected Scheme Bed or equivalency. </w:t>
      </w:r>
    </w:p>
    <w:p w:rsidR="00D81B78" w:rsidRDefault="00D81B78" w:rsidP="00D81B78">
      <w:pPr>
        <w:pStyle w:val="ListParagraph"/>
        <w:numPr>
          <w:ilvl w:val="0"/>
          <w:numId w:val="5"/>
        </w:numPr>
        <w:jc w:val="both"/>
      </w:pPr>
      <w:r>
        <w:t>Trajectory of delivery</w:t>
      </w:r>
    </w:p>
    <w:p w:rsidR="00D81B78" w:rsidRDefault="00D81B78" w:rsidP="00D81B78">
      <w:pPr>
        <w:pStyle w:val="ListParagraph"/>
        <w:numPr>
          <w:ilvl w:val="0"/>
          <w:numId w:val="5"/>
        </w:numPr>
        <w:jc w:val="both"/>
      </w:pPr>
      <w:r>
        <w:t>Funding Source if required</w:t>
      </w:r>
    </w:p>
    <w:p w:rsidR="00D81B78" w:rsidRDefault="00D81B78" w:rsidP="00D81B78">
      <w:pPr>
        <w:pStyle w:val="ListParagraph"/>
        <w:numPr>
          <w:ilvl w:val="0"/>
          <w:numId w:val="5"/>
        </w:numPr>
        <w:jc w:val="both"/>
      </w:pPr>
      <w:r>
        <w:t xml:space="preserve">Risk RAG rating </w:t>
      </w:r>
    </w:p>
    <w:p w:rsidR="00D81B78" w:rsidRDefault="00D81B78" w:rsidP="00D81B78">
      <w:pPr>
        <w:pStyle w:val="ListParagraph"/>
        <w:numPr>
          <w:ilvl w:val="0"/>
          <w:numId w:val="5"/>
        </w:numPr>
        <w:jc w:val="both"/>
      </w:pPr>
      <w:r>
        <w:t xml:space="preserve">Variances </w:t>
      </w:r>
    </w:p>
    <w:p w:rsidR="00D81B78" w:rsidRDefault="00D81B78" w:rsidP="00D81B78">
      <w:pPr>
        <w:jc w:val="both"/>
      </w:pPr>
      <w:r>
        <w:t xml:space="preserve">This template was seen to </w:t>
      </w:r>
      <w:r w:rsidR="00546061">
        <w:t xml:space="preserve">be crucial to the audit trails, </w:t>
      </w:r>
      <w:r w:rsidR="00C875CD">
        <w:t>assurance meetings</w:t>
      </w:r>
      <w:r>
        <w:t>, identifying opportunities</w:t>
      </w:r>
      <w:r w:rsidR="00C875CD">
        <w:t>/good practice</w:t>
      </w:r>
      <w:r>
        <w:t xml:space="preserve"> and potential impacts. </w:t>
      </w:r>
    </w:p>
    <w:p w:rsidR="00D81B78" w:rsidRDefault="00EE3297" w:rsidP="00D81B78">
      <w:pPr>
        <w:jc w:val="both"/>
        <w:rPr>
          <w:b/>
          <w:i/>
          <w:u w:val="single"/>
        </w:rPr>
      </w:pPr>
      <w:r w:rsidRPr="00B17187">
        <w:rPr>
          <w:b/>
          <w:i/>
          <w:u w:val="single"/>
        </w:rPr>
        <w:t>Delivery</w:t>
      </w:r>
    </w:p>
    <w:p w:rsidR="00BE14CE" w:rsidRPr="00B17187" w:rsidRDefault="00BE14CE" w:rsidP="00D81B78">
      <w:pPr>
        <w:jc w:val="both"/>
        <w:rPr>
          <w:b/>
          <w:i/>
          <w:u w:val="single"/>
        </w:rPr>
      </w:pPr>
      <w:r>
        <w:rPr>
          <w:b/>
          <w:i/>
          <w:u w:val="single"/>
        </w:rPr>
        <w:t>October 2022 – March 23</w:t>
      </w:r>
    </w:p>
    <w:p w:rsidR="00A06C97" w:rsidRDefault="000E180C" w:rsidP="00D81B78">
      <w:pPr>
        <w:jc w:val="both"/>
      </w:pPr>
      <w:r>
        <w:t>S</w:t>
      </w:r>
      <w:r w:rsidR="00EE3297">
        <w:t xml:space="preserve">chemes were identified </w:t>
      </w:r>
      <w:r>
        <w:t xml:space="preserve">and implemented </w:t>
      </w:r>
      <w:r w:rsidR="00EE3297">
        <w:t>by</w:t>
      </w:r>
      <w:r w:rsidR="00ED10F2">
        <w:t xml:space="preserve"> the</w:t>
      </w:r>
      <w:r w:rsidR="00EE3297">
        <w:t xml:space="preserve"> region</w:t>
      </w:r>
      <w:r w:rsidR="00ED10F2">
        <w:t>s</w:t>
      </w:r>
      <w:r w:rsidR="001E09F4">
        <w:t>,</w:t>
      </w:r>
      <w:r w:rsidR="00EE3297">
        <w:t xml:space="preserve"> with trajectories set alongside a RAG risk rating. Further to these schemes, </w:t>
      </w:r>
      <w:r>
        <w:t xml:space="preserve">national </w:t>
      </w:r>
      <w:r w:rsidR="00EE3297">
        <w:t>datasets were being improved to t</w:t>
      </w:r>
      <w:r w:rsidR="00867E9E">
        <w:t xml:space="preserve">rack overall </w:t>
      </w:r>
      <w:r w:rsidR="00C875CD">
        <w:t xml:space="preserve">performance </w:t>
      </w:r>
      <w:r w:rsidR="00867E9E">
        <w:t>of the health and social care system</w:t>
      </w:r>
      <w:r>
        <w:t xml:space="preserve"> such </w:t>
      </w:r>
      <w:r w:rsidR="00ED10F2">
        <w:t>as a</w:t>
      </w:r>
      <w:r w:rsidR="00867E9E">
        <w:t xml:space="preserve"> new version of Social Care Checkpoint, </w:t>
      </w:r>
      <w:r w:rsidR="00A06C97">
        <w:t>21-day</w:t>
      </w:r>
      <w:r w:rsidR="00867E9E">
        <w:t xml:space="preserve"> length of stay and the Pathway of Care Delays.</w:t>
      </w:r>
      <w:r w:rsidR="00A06C97">
        <w:t xml:space="preserve"> </w:t>
      </w:r>
    </w:p>
    <w:p w:rsidR="006D2633" w:rsidRDefault="006D2633" w:rsidP="00D81B78">
      <w:pPr>
        <w:jc w:val="both"/>
      </w:pPr>
      <w:r>
        <w:t xml:space="preserve">Figure 2- Original </w:t>
      </w:r>
      <w:r w:rsidR="00C875CD">
        <w:t xml:space="preserve">Additional Capacity </w:t>
      </w:r>
      <w:r>
        <w:t>Trajectory</w:t>
      </w:r>
    </w:p>
    <w:p w:rsidR="006D2633" w:rsidRDefault="006D2633" w:rsidP="00D81B78">
      <w:pPr>
        <w:jc w:val="both"/>
      </w:pPr>
      <w:r>
        <w:rPr>
          <w:noProof/>
          <w:lang w:eastAsia="en-GB"/>
        </w:rPr>
        <w:drawing>
          <wp:inline distT="0" distB="0" distL="0" distR="0" wp14:anchorId="7AFD8164" wp14:editId="6A59E2E5">
            <wp:extent cx="6409794" cy="1158240"/>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432198" cy="1162288"/>
                    </a:xfrm>
                    <a:prstGeom prst="rect">
                      <a:avLst/>
                    </a:prstGeom>
                  </pic:spPr>
                </pic:pic>
              </a:graphicData>
            </a:graphic>
          </wp:inline>
        </w:drawing>
      </w:r>
    </w:p>
    <w:p w:rsidR="00EE3297" w:rsidRDefault="00FF69A7" w:rsidP="00D81B78">
      <w:pPr>
        <w:jc w:val="both"/>
      </w:pPr>
      <w:r>
        <w:t>Figure 3</w:t>
      </w:r>
      <w:r w:rsidR="00ED10F2">
        <w:t>- Actual</w:t>
      </w:r>
      <w:r w:rsidR="007E3272">
        <w:t xml:space="preserve"> </w:t>
      </w:r>
      <w:r w:rsidR="00C875CD">
        <w:t xml:space="preserve">Additional Capacity </w:t>
      </w:r>
      <w:r>
        <w:t>Delivery</w:t>
      </w:r>
    </w:p>
    <w:p w:rsidR="00B17187" w:rsidRDefault="00FF69A7" w:rsidP="00D81B78">
      <w:pPr>
        <w:jc w:val="both"/>
      </w:pPr>
      <w:r w:rsidRPr="00FF69A7">
        <w:rPr>
          <w:noProof/>
          <w:lang w:eastAsia="en-GB"/>
        </w:rPr>
        <w:drawing>
          <wp:inline distT="0" distB="0" distL="0" distR="0" wp14:anchorId="156257EA" wp14:editId="78D374FC">
            <wp:extent cx="5731510" cy="1485607"/>
            <wp:effectExtent l="0" t="0" r="254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1510" cy="1485607"/>
                    </a:xfrm>
                    <a:prstGeom prst="rect">
                      <a:avLst/>
                    </a:prstGeom>
                    <a:noFill/>
                    <a:ln>
                      <a:noFill/>
                    </a:ln>
                  </pic:spPr>
                </pic:pic>
              </a:graphicData>
            </a:graphic>
          </wp:inline>
        </w:drawing>
      </w:r>
    </w:p>
    <w:p w:rsidR="00FF69A7" w:rsidRDefault="00FF69A7" w:rsidP="00D81B78">
      <w:pPr>
        <w:jc w:val="both"/>
      </w:pPr>
      <w:r w:rsidRPr="00FF69A7">
        <w:rPr>
          <w:noProof/>
          <w:lang w:eastAsia="en-GB"/>
        </w:rPr>
        <w:lastRenderedPageBreak/>
        <w:drawing>
          <wp:inline distT="0" distB="0" distL="0" distR="0" wp14:anchorId="633BE49A" wp14:editId="0BBDC7EF">
            <wp:extent cx="6540805" cy="147066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551388" cy="1473040"/>
                    </a:xfrm>
                    <a:prstGeom prst="rect">
                      <a:avLst/>
                    </a:prstGeom>
                    <a:noFill/>
                    <a:ln>
                      <a:noFill/>
                    </a:ln>
                  </pic:spPr>
                </pic:pic>
              </a:graphicData>
            </a:graphic>
          </wp:inline>
        </w:drawing>
      </w:r>
    </w:p>
    <w:p w:rsidR="00A06C97" w:rsidRDefault="00B17187" w:rsidP="00D81B78">
      <w:pPr>
        <w:jc w:val="both"/>
      </w:pPr>
      <w:r>
        <w:t>Figure 3 demonstrates the changes made with each bi-weekly reporting cycle. The</w:t>
      </w:r>
      <w:r w:rsidR="00C875CD">
        <w:t xml:space="preserve"> bi weekly</w:t>
      </w:r>
      <w:r>
        <w:t xml:space="preserve"> meetings provide</w:t>
      </w:r>
      <w:r w:rsidR="00C875CD">
        <w:t xml:space="preserve">d </w:t>
      </w:r>
      <w:r>
        <w:t>scrutiny of plans and the opportunity to share good practice between regions. Regional colleagues have reported they found the shar</w:t>
      </w:r>
      <w:r w:rsidR="00ED10F2">
        <w:t>ing of</w:t>
      </w:r>
      <w:r>
        <w:t xml:space="preserve"> good practice </w:t>
      </w:r>
      <w:r w:rsidR="00C875CD">
        <w:t xml:space="preserve">and </w:t>
      </w:r>
      <w:r w:rsidR="00ED10F2">
        <w:t xml:space="preserve">the </w:t>
      </w:r>
      <w:r w:rsidR="003C2353">
        <w:t>creati</w:t>
      </w:r>
      <w:r w:rsidR="00ED10F2">
        <w:t>on</w:t>
      </w:r>
      <w:r w:rsidR="003C2353">
        <w:t xml:space="preserve"> a shared equation of bed calculation to</w:t>
      </w:r>
      <w:r>
        <w:t xml:space="preserve"> be helpful</w:t>
      </w:r>
      <w:r w:rsidR="00C875CD">
        <w:t xml:space="preserve">. </w:t>
      </w:r>
      <w:r>
        <w:t xml:space="preserve"> </w:t>
      </w:r>
    </w:p>
    <w:p w:rsidR="00E01E99" w:rsidRDefault="00E01E99" w:rsidP="00D81B78">
      <w:pPr>
        <w:jc w:val="both"/>
      </w:pPr>
      <w:r>
        <w:t xml:space="preserve">A final figure of 678 beds delivered, although short of the 1000 bed target represented a significant achievement given that there was no additional resource given to regions but a greater focus on regional working to deliver this additional capacity. </w:t>
      </w:r>
    </w:p>
    <w:p w:rsidR="007E3272" w:rsidRDefault="007E3272" w:rsidP="00D81B78">
      <w:pPr>
        <w:jc w:val="both"/>
      </w:pPr>
      <w:r>
        <w:t>Figure</w:t>
      </w:r>
      <w:r w:rsidR="001809DF">
        <w:t xml:space="preserve"> 4</w:t>
      </w:r>
      <w:r w:rsidR="007840EE">
        <w:t>- Final Breakdown</w:t>
      </w:r>
      <w:r w:rsidR="005426A2">
        <w:t>s</w:t>
      </w:r>
      <w:r w:rsidR="007840EE">
        <w:t xml:space="preserve"> </w:t>
      </w:r>
      <w:r w:rsidR="00ED10F2">
        <w:t>of Delivery by Organisation and Risk RAG</w:t>
      </w:r>
      <w:r w:rsidR="003C2353">
        <w:t xml:space="preserve"> </w:t>
      </w:r>
    </w:p>
    <w:tbl>
      <w:tblPr>
        <w:tblW w:w="2768" w:type="dxa"/>
        <w:tblLook w:val="04A0" w:firstRow="1" w:lastRow="0" w:firstColumn="1" w:lastColumn="0" w:noHBand="0" w:noVBand="1"/>
      </w:tblPr>
      <w:tblGrid>
        <w:gridCol w:w="1391"/>
        <w:gridCol w:w="683"/>
        <w:gridCol w:w="993"/>
      </w:tblGrid>
      <w:tr w:rsidR="005D724E" w:rsidRPr="005D724E" w:rsidTr="005D724E">
        <w:trPr>
          <w:trHeight w:val="288"/>
        </w:trPr>
        <w:tc>
          <w:tcPr>
            <w:tcW w:w="1248" w:type="dxa"/>
            <w:tcBorders>
              <w:top w:val="single" w:sz="4" w:space="0" w:color="auto"/>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b/>
                <w:bCs/>
                <w:color w:val="000000"/>
                <w:lang w:eastAsia="en-GB"/>
              </w:rPr>
            </w:pPr>
            <w:r w:rsidRPr="005D724E">
              <w:rPr>
                <w:rFonts w:ascii="Calibri" w:eastAsia="Times New Roman" w:hAnsi="Calibri" w:cs="Calibri"/>
                <w:b/>
                <w:bCs/>
                <w:color w:val="000000"/>
                <w:lang w:eastAsia="en-GB"/>
              </w:rPr>
              <w:t>Organisation</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b/>
                <w:bCs/>
                <w:color w:val="000000"/>
                <w:lang w:eastAsia="en-GB"/>
              </w:rPr>
            </w:pPr>
            <w:r w:rsidRPr="005D724E">
              <w:rPr>
                <w:rFonts w:ascii="Calibri" w:eastAsia="Times New Roman" w:hAnsi="Calibri" w:cs="Calibri"/>
                <w:b/>
                <w:bCs/>
                <w:color w:val="000000"/>
                <w:lang w:eastAsia="en-GB"/>
              </w:rPr>
              <w:t>Total</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b/>
                <w:bCs/>
                <w:color w:val="000000"/>
                <w:lang w:eastAsia="en-GB"/>
              </w:rPr>
            </w:pPr>
            <w:r w:rsidRPr="005D724E">
              <w:rPr>
                <w:rFonts w:ascii="Calibri" w:eastAsia="Times New Roman" w:hAnsi="Calibri" w:cs="Calibri"/>
                <w:b/>
                <w:bCs/>
                <w:color w:val="000000"/>
                <w:lang w:eastAsia="en-GB"/>
              </w:rPr>
              <w:t>%</w:t>
            </w:r>
          </w:p>
        </w:tc>
      </w:tr>
      <w:tr w:rsidR="005D724E" w:rsidRPr="005D724E" w:rsidTr="005D724E">
        <w:trPr>
          <w:trHeight w:val="288"/>
        </w:trPr>
        <w:tc>
          <w:tcPr>
            <w:tcW w:w="1248"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color w:val="000000"/>
                <w:lang w:eastAsia="en-GB"/>
              </w:rPr>
            </w:pPr>
            <w:r w:rsidRPr="005D724E">
              <w:rPr>
                <w:rFonts w:ascii="Calibri" w:eastAsia="Times New Roman" w:hAnsi="Calibri" w:cs="Calibri"/>
                <w:color w:val="000000"/>
                <w:lang w:eastAsia="en-GB"/>
              </w:rPr>
              <w:t>UHB</w:t>
            </w:r>
          </w:p>
        </w:tc>
        <w:tc>
          <w:tcPr>
            <w:tcW w:w="560"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color w:val="000000"/>
                <w:lang w:eastAsia="en-GB"/>
              </w:rPr>
            </w:pPr>
            <w:r w:rsidRPr="005D724E">
              <w:rPr>
                <w:rFonts w:ascii="Calibri" w:eastAsia="Times New Roman" w:hAnsi="Calibri" w:cs="Calibri"/>
                <w:color w:val="000000"/>
                <w:lang w:eastAsia="en-GB"/>
              </w:rPr>
              <w:t>180</w:t>
            </w:r>
          </w:p>
        </w:tc>
        <w:tc>
          <w:tcPr>
            <w:tcW w:w="960"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color w:val="000000"/>
                <w:lang w:eastAsia="en-GB"/>
              </w:rPr>
            </w:pPr>
            <w:r w:rsidRPr="005D724E">
              <w:rPr>
                <w:rFonts w:ascii="Calibri" w:eastAsia="Times New Roman" w:hAnsi="Calibri" w:cs="Calibri"/>
                <w:color w:val="000000"/>
                <w:lang w:eastAsia="en-GB"/>
              </w:rPr>
              <w:t>20.55%</w:t>
            </w:r>
          </w:p>
        </w:tc>
      </w:tr>
      <w:tr w:rsidR="005D724E" w:rsidRPr="005D724E" w:rsidTr="005D724E">
        <w:trPr>
          <w:trHeight w:val="288"/>
        </w:trPr>
        <w:tc>
          <w:tcPr>
            <w:tcW w:w="1248"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color w:val="000000"/>
                <w:lang w:eastAsia="en-GB"/>
              </w:rPr>
            </w:pPr>
            <w:r w:rsidRPr="005D724E">
              <w:rPr>
                <w:rFonts w:ascii="Calibri" w:eastAsia="Times New Roman" w:hAnsi="Calibri" w:cs="Calibri"/>
                <w:color w:val="000000"/>
                <w:lang w:eastAsia="en-GB"/>
              </w:rPr>
              <w:t>LA</w:t>
            </w:r>
          </w:p>
        </w:tc>
        <w:tc>
          <w:tcPr>
            <w:tcW w:w="560"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color w:val="000000"/>
                <w:lang w:eastAsia="en-GB"/>
              </w:rPr>
            </w:pPr>
            <w:r w:rsidRPr="005D724E">
              <w:rPr>
                <w:rFonts w:ascii="Calibri" w:eastAsia="Times New Roman" w:hAnsi="Calibri" w:cs="Calibri"/>
                <w:color w:val="000000"/>
                <w:lang w:eastAsia="en-GB"/>
              </w:rPr>
              <w:t>456</w:t>
            </w:r>
          </w:p>
        </w:tc>
        <w:tc>
          <w:tcPr>
            <w:tcW w:w="960"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color w:val="000000"/>
                <w:lang w:eastAsia="en-GB"/>
              </w:rPr>
            </w:pPr>
            <w:r w:rsidRPr="005D724E">
              <w:rPr>
                <w:rFonts w:ascii="Calibri" w:eastAsia="Times New Roman" w:hAnsi="Calibri" w:cs="Calibri"/>
                <w:color w:val="000000"/>
                <w:lang w:eastAsia="en-GB"/>
              </w:rPr>
              <w:t>52.05%</w:t>
            </w:r>
          </w:p>
        </w:tc>
      </w:tr>
      <w:tr w:rsidR="005D724E" w:rsidRPr="005D724E" w:rsidTr="005D724E">
        <w:trPr>
          <w:trHeight w:val="288"/>
        </w:trPr>
        <w:tc>
          <w:tcPr>
            <w:tcW w:w="1248"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color w:val="000000"/>
                <w:lang w:eastAsia="en-GB"/>
              </w:rPr>
            </w:pPr>
            <w:r w:rsidRPr="005D724E">
              <w:rPr>
                <w:rFonts w:ascii="Calibri" w:eastAsia="Times New Roman" w:hAnsi="Calibri" w:cs="Calibri"/>
                <w:color w:val="000000"/>
                <w:lang w:eastAsia="en-GB"/>
              </w:rPr>
              <w:t>Joint</w:t>
            </w:r>
          </w:p>
        </w:tc>
        <w:tc>
          <w:tcPr>
            <w:tcW w:w="560"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color w:val="000000"/>
                <w:lang w:eastAsia="en-GB"/>
              </w:rPr>
            </w:pPr>
            <w:r w:rsidRPr="005D724E">
              <w:rPr>
                <w:rFonts w:ascii="Calibri" w:eastAsia="Times New Roman" w:hAnsi="Calibri" w:cs="Calibri"/>
                <w:color w:val="000000"/>
                <w:lang w:eastAsia="en-GB"/>
              </w:rPr>
              <w:t>240</w:t>
            </w:r>
          </w:p>
        </w:tc>
        <w:tc>
          <w:tcPr>
            <w:tcW w:w="960"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color w:val="000000"/>
                <w:lang w:eastAsia="en-GB"/>
              </w:rPr>
            </w:pPr>
            <w:r w:rsidRPr="005D724E">
              <w:rPr>
                <w:rFonts w:ascii="Calibri" w:eastAsia="Times New Roman" w:hAnsi="Calibri" w:cs="Calibri"/>
                <w:color w:val="000000"/>
                <w:lang w:eastAsia="en-GB"/>
              </w:rPr>
              <w:t>27.40%</w:t>
            </w:r>
          </w:p>
        </w:tc>
      </w:tr>
      <w:tr w:rsidR="005D724E" w:rsidRPr="005D724E" w:rsidTr="005D724E">
        <w:trPr>
          <w:trHeight w:val="300"/>
        </w:trPr>
        <w:tc>
          <w:tcPr>
            <w:tcW w:w="1248"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b/>
                <w:bCs/>
                <w:color w:val="000000"/>
                <w:lang w:eastAsia="en-GB"/>
              </w:rPr>
            </w:pPr>
            <w:r w:rsidRPr="005D724E">
              <w:rPr>
                <w:rFonts w:ascii="Calibri" w:eastAsia="Times New Roman" w:hAnsi="Calibri" w:cs="Calibri"/>
                <w:b/>
                <w:bCs/>
                <w:color w:val="000000"/>
                <w:lang w:eastAsia="en-GB"/>
              </w:rPr>
              <w:t>Total</w:t>
            </w:r>
          </w:p>
        </w:tc>
        <w:tc>
          <w:tcPr>
            <w:tcW w:w="560"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b/>
                <w:bCs/>
                <w:color w:val="000000"/>
                <w:lang w:eastAsia="en-GB"/>
              </w:rPr>
            </w:pPr>
            <w:r w:rsidRPr="005D724E">
              <w:rPr>
                <w:rFonts w:ascii="Calibri" w:eastAsia="Times New Roman" w:hAnsi="Calibri" w:cs="Calibri"/>
                <w:b/>
                <w:bCs/>
                <w:color w:val="000000"/>
                <w:lang w:eastAsia="en-GB"/>
              </w:rPr>
              <w:t>876</w:t>
            </w:r>
          </w:p>
        </w:tc>
        <w:tc>
          <w:tcPr>
            <w:tcW w:w="960"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b/>
                <w:bCs/>
                <w:color w:val="000000"/>
                <w:lang w:eastAsia="en-GB"/>
              </w:rPr>
            </w:pPr>
            <w:r w:rsidRPr="005D724E">
              <w:rPr>
                <w:rFonts w:ascii="Calibri" w:eastAsia="Times New Roman" w:hAnsi="Calibri" w:cs="Calibri"/>
                <w:b/>
                <w:bCs/>
                <w:color w:val="000000"/>
                <w:lang w:eastAsia="en-GB"/>
              </w:rPr>
              <w:t>100.00%</w:t>
            </w:r>
          </w:p>
        </w:tc>
      </w:tr>
      <w:tr w:rsidR="005D724E" w:rsidRPr="005D724E" w:rsidTr="005D724E">
        <w:trPr>
          <w:trHeight w:val="300"/>
        </w:trPr>
        <w:tc>
          <w:tcPr>
            <w:tcW w:w="1248" w:type="dxa"/>
            <w:tcBorders>
              <w:top w:val="nil"/>
              <w:left w:val="nil"/>
              <w:bottom w:val="nil"/>
              <w:right w:val="nil"/>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b/>
                <w:bCs/>
                <w:color w:val="000000"/>
                <w:lang w:eastAsia="en-GB"/>
              </w:rPr>
            </w:pPr>
          </w:p>
        </w:tc>
        <w:tc>
          <w:tcPr>
            <w:tcW w:w="560" w:type="dxa"/>
            <w:tcBorders>
              <w:top w:val="nil"/>
              <w:left w:val="nil"/>
              <w:bottom w:val="nil"/>
              <w:right w:val="nil"/>
            </w:tcBorders>
            <w:shd w:val="clear" w:color="auto" w:fill="auto"/>
            <w:noWrap/>
            <w:vAlign w:val="bottom"/>
            <w:hideMark/>
          </w:tcPr>
          <w:p w:rsidR="005D724E" w:rsidRPr="005D724E" w:rsidRDefault="005D724E" w:rsidP="005D724E">
            <w:pPr>
              <w:spacing w:after="0" w:line="24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rsidR="005D724E" w:rsidRPr="005D724E" w:rsidRDefault="005D724E" w:rsidP="005D724E">
            <w:pPr>
              <w:spacing w:after="0" w:line="240" w:lineRule="auto"/>
              <w:rPr>
                <w:rFonts w:ascii="Times New Roman" w:eastAsia="Times New Roman" w:hAnsi="Times New Roman" w:cs="Times New Roman"/>
                <w:sz w:val="20"/>
                <w:szCs w:val="20"/>
                <w:lang w:eastAsia="en-GB"/>
              </w:rPr>
            </w:pPr>
          </w:p>
        </w:tc>
      </w:tr>
      <w:tr w:rsidR="005D724E" w:rsidRPr="005D724E" w:rsidTr="005D724E">
        <w:trPr>
          <w:trHeight w:val="288"/>
        </w:trPr>
        <w:tc>
          <w:tcPr>
            <w:tcW w:w="1248" w:type="dxa"/>
            <w:tcBorders>
              <w:top w:val="nil"/>
              <w:left w:val="nil"/>
              <w:bottom w:val="nil"/>
              <w:right w:val="nil"/>
            </w:tcBorders>
            <w:shd w:val="clear" w:color="auto" w:fill="auto"/>
            <w:noWrap/>
            <w:vAlign w:val="bottom"/>
            <w:hideMark/>
          </w:tcPr>
          <w:p w:rsidR="005D724E" w:rsidRPr="005D724E" w:rsidRDefault="005D724E" w:rsidP="005D724E">
            <w:pPr>
              <w:spacing w:after="0" w:line="240" w:lineRule="auto"/>
              <w:rPr>
                <w:rFonts w:ascii="Times New Roman" w:eastAsia="Times New Roman" w:hAnsi="Times New Roman" w:cs="Times New Roman"/>
                <w:sz w:val="20"/>
                <w:szCs w:val="20"/>
                <w:lang w:eastAsia="en-GB"/>
              </w:rPr>
            </w:pPr>
          </w:p>
        </w:tc>
        <w:tc>
          <w:tcPr>
            <w:tcW w:w="560" w:type="dxa"/>
            <w:tcBorders>
              <w:top w:val="nil"/>
              <w:left w:val="nil"/>
              <w:bottom w:val="nil"/>
              <w:right w:val="nil"/>
            </w:tcBorders>
            <w:shd w:val="clear" w:color="auto" w:fill="auto"/>
            <w:noWrap/>
            <w:vAlign w:val="bottom"/>
            <w:hideMark/>
          </w:tcPr>
          <w:p w:rsidR="005D724E" w:rsidRPr="005D724E" w:rsidRDefault="005D724E" w:rsidP="005D724E">
            <w:pPr>
              <w:spacing w:after="0" w:line="24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rsidR="005D724E" w:rsidRPr="005D724E" w:rsidRDefault="005D724E" w:rsidP="005D724E">
            <w:pPr>
              <w:spacing w:after="0" w:line="240" w:lineRule="auto"/>
              <w:rPr>
                <w:rFonts w:ascii="Times New Roman" w:eastAsia="Times New Roman" w:hAnsi="Times New Roman" w:cs="Times New Roman"/>
                <w:sz w:val="20"/>
                <w:szCs w:val="20"/>
                <w:lang w:eastAsia="en-GB"/>
              </w:rPr>
            </w:pPr>
          </w:p>
        </w:tc>
      </w:tr>
      <w:tr w:rsidR="005D724E" w:rsidRPr="005D724E" w:rsidTr="005D724E">
        <w:trPr>
          <w:trHeight w:val="288"/>
        </w:trPr>
        <w:tc>
          <w:tcPr>
            <w:tcW w:w="1248" w:type="dxa"/>
            <w:tcBorders>
              <w:top w:val="single" w:sz="4" w:space="0" w:color="auto"/>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b/>
                <w:bCs/>
                <w:color w:val="000000"/>
                <w:lang w:eastAsia="en-GB"/>
              </w:rPr>
            </w:pPr>
            <w:r w:rsidRPr="005D724E">
              <w:rPr>
                <w:rFonts w:ascii="Calibri" w:eastAsia="Times New Roman" w:hAnsi="Calibri" w:cs="Calibri"/>
                <w:b/>
                <w:bCs/>
                <w:color w:val="000000"/>
                <w:lang w:eastAsia="en-GB"/>
              </w:rPr>
              <w:t>RAG</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b/>
                <w:bCs/>
                <w:color w:val="000000"/>
                <w:lang w:eastAsia="en-GB"/>
              </w:rPr>
            </w:pPr>
            <w:r w:rsidRPr="005D724E">
              <w:rPr>
                <w:rFonts w:ascii="Calibri" w:eastAsia="Times New Roman" w:hAnsi="Calibri" w:cs="Calibri"/>
                <w:b/>
                <w:bCs/>
                <w:color w:val="000000"/>
                <w:lang w:eastAsia="en-GB"/>
              </w:rPr>
              <w:t>Total</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b/>
                <w:bCs/>
                <w:color w:val="000000"/>
                <w:lang w:eastAsia="en-GB"/>
              </w:rPr>
            </w:pPr>
            <w:r w:rsidRPr="005D724E">
              <w:rPr>
                <w:rFonts w:ascii="Calibri" w:eastAsia="Times New Roman" w:hAnsi="Calibri" w:cs="Calibri"/>
                <w:b/>
                <w:bCs/>
                <w:color w:val="000000"/>
                <w:lang w:eastAsia="en-GB"/>
              </w:rPr>
              <w:t>%</w:t>
            </w:r>
          </w:p>
        </w:tc>
      </w:tr>
      <w:tr w:rsidR="005D724E" w:rsidRPr="005D724E" w:rsidTr="005D724E">
        <w:trPr>
          <w:trHeight w:val="288"/>
        </w:trPr>
        <w:tc>
          <w:tcPr>
            <w:tcW w:w="1248"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color w:val="000000"/>
                <w:lang w:eastAsia="en-GB"/>
              </w:rPr>
            </w:pPr>
            <w:r w:rsidRPr="005D724E">
              <w:rPr>
                <w:rFonts w:ascii="Calibri" w:eastAsia="Times New Roman" w:hAnsi="Calibri" w:cs="Calibri"/>
                <w:color w:val="000000"/>
                <w:lang w:eastAsia="en-GB"/>
              </w:rPr>
              <w:t>Amber</w:t>
            </w:r>
          </w:p>
        </w:tc>
        <w:tc>
          <w:tcPr>
            <w:tcW w:w="560"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color w:val="000000"/>
                <w:lang w:eastAsia="en-GB"/>
              </w:rPr>
            </w:pPr>
            <w:r w:rsidRPr="005D724E">
              <w:rPr>
                <w:rFonts w:ascii="Calibri" w:eastAsia="Times New Roman" w:hAnsi="Calibri" w:cs="Calibri"/>
                <w:color w:val="000000"/>
                <w:lang w:eastAsia="en-GB"/>
              </w:rPr>
              <w:t>198</w:t>
            </w:r>
          </w:p>
        </w:tc>
        <w:tc>
          <w:tcPr>
            <w:tcW w:w="960"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color w:val="000000"/>
                <w:lang w:eastAsia="en-GB"/>
              </w:rPr>
            </w:pPr>
            <w:r w:rsidRPr="005D724E">
              <w:rPr>
                <w:rFonts w:ascii="Calibri" w:eastAsia="Times New Roman" w:hAnsi="Calibri" w:cs="Calibri"/>
                <w:color w:val="000000"/>
                <w:lang w:eastAsia="en-GB"/>
              </w:rPr>
              <w:t>22.60%</w:t>
            </w:r>
          </w:p>
        </w:tc>
      </w:tr>
      <w:tr w:rsidR="005D724E" w:rsidRPr="005D724E" w:rsidTr="005D724E">
        <w:trPr>
          <w:trHeight w:val="288"/>
        </w:trPr>
        <w:tc>
          <w:tcPr>
            <w:tcW w:w="1248"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color w:val="000000"/>
                <w:lang w:eastAsia="en-GB"/>
              </w:rPr>
            </w:pPr>
            <w:r w:rsidRPr="005D724E">
              <w:rPr>
                <w:rFonts w:ascii="Calibri" w:eastAsia="Times New Roman" w:hAnsi="Calibri" w:cs="Calibri"/>
                <w:color w:val="000000"/>
                <w:lang w:eastAsia="en-GB"/>
              </w:rPr>
              <w:t>Green</w:t>
            </w:r>
          </w:p>
        </w:tc>
        <w:tc>
          <w:tcPr>
            <w:tcW w:w="560"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color w:val="000000"/>
                <w:lang w:eastAsia="en-GB"/>
              </w:rPr>
            </w:pPr>
            <w:r w:rsidRPr="005D724E">
              <w:rPr>
                <w:rFonts w:ascii="Calibri" w:eastAsia="Times New Roman" w:hAnsi="Calibri" w:cs="Calibri"/>
                <w:color w:val="000000"/>
                <w:lang w:eastAsia="en-GB"/>
              </w:rPr>
              <w:t>678</w:t>
            </w:r>
          </w:p>
        </w:tc>
        <w:tc>
          <w:tcPr>
            <w:tcW w:w="960"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color w:val="000000"/>
                <w:lang w:eastAsia="en-GB"/>
              </w:rPr>
            </w:pPr>
            <w:r w:rsidRPr="005D724E">
              <w:rPr>
                <w:rFonts w:ascii="Calibri" w:eastAsia="Times New Roman" w:hAnsi="Calibri" w:cs="Calibri"/>
                <w:color w:val="000000"/>
                <w:lang w:eastAsia="en-GB"/>
              </w:rPr>
              <w:t>77.40%</w:t>
            </w:r>
          </w:p>
        </w:tc>
      </w:tr>
      <w:tr w:rsidR="005D724E" w:rsidRPr="005D724E" w:rsidTr="005D724E">
        <w:trPr>
          <w:trHeight w:val="300"/>
        </w:trPr>
        <w:tc>
          <w:tcPr>
            <w:tcW w:w="1248"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b/>
                <w:bCs/>
                <w:color w:val="000000"/>
                <w:lang w:eastAsia="en-GB"/>
              </w:rPr>
            </w:pPr>
            <w:r w:rsidRPr="005D724E">
              <w:rPr>
                <w:rFonts w:ascii="Calibri" w:eastAsia="Times New Roman" w:hAnsi="Calibri" w:cs="Calibri"/>
                <w:b/>
                <w:bCs/>
                <w:color w:val="000000"/>
                <w:lang w:eastAsia="en-GB"/>
              </w:rPr>
              <w:t xml:space="preserve">Total </w:t>
            </w:r>
          </w:p>
        </w:tc>
        <w:tc>
          <w:tcPr>
            <w:tcW w:w="560"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b/>
                <w:bCs/>
                <w:color w:val="000000"/>
                <w:lang w:eastAsia="en-GB"/>
              </w:rPr>
            </w:pPr>
            <w:r w:rsidRPr="005D724E">
              <w:rPr>
                <w:rFonts w:ascii="Calibri" w:eastAsia="Times New Roman" w:hAnsi="Calibri" w:cs="Calibri"/>
                <w:b/>
                <w:bCs/>
                <w:color w:val="000000"/>
                <w:lang w:eastAsia="en-GB"/>
              </w:rPr>
              <w:t>876</w:t>
            </w:r>
          </w:p>
        </w:tc>
        <w:tc>
          <w:tcPr>
            <w:tcW w:w="960"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b/>
                <w:bCs/>
                <w:color w:val="000000"/>
                <w:lang w:eastAsia="en-GB"/>
              </w:rPr>
            </w:pPr>
            <w:r w:rsidRPr="005D724E">
              <w:rPr>
                <w:rFonts w:ascii="Calibri" w:eastAsia="Times New Roman" w:hAnsi="Calibri" w:cs="Calibri"/>
                <w:b/>
                <w:bCs/>
                <w:color w:val="000000"/>
                <w:lang w:eastAsia="en-GB"/>
              </w:rPr>
              <w:t>100.00%</w:t>
            </w:r>
          </w:p>
        </w:tc>
      </w:tr>
      <w:tr w:rsidR="005D724E" w:rsidRPr="005D724E" w:rsidTr="005D724E">
        <w:trPr>
          <w:trHeight w:val="300"/>
        </w:trPr>
        <w:tc>
          <w:tcPr>
            <w:tcW w:w="1248" w:type="dxa"/>
            <w:tcBorders>
              <w:top w:val="nil"/>
              <w:left w:val="nil"/>
              <w:bottom w:val="nil"/>
              <w:right w:val="nil"/>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b/>
                <w:bCs/>
                <w:color w:val="000000"/>
                <w:lang w:eastAsia="en-GB"/>
              </w:rPr>
            </w:pPr>
          </w:p>
        </w:tc>
        <w:tc>
          <w:tcPr>
            <w:tcW w:w="560" w:type="dxa"/>
            <w:tcBorders>
              <w:top w:val="nil"/>
              <w:left w:val="nil"/>
              <w:bottom w:val="nil"/>
              <w:right w:val="nil"/>
            </w:tcBorders>
            <w:shd w:val="clear" w:color="auto" w:fill="auto"/>
            <w:noWrap/>
            <w:vAlign w:val="bottom"/>
            <w:hideMark/>
          </w:tcPr>
          <w:p w:rsidR="005D724E" w:rsidRPr="005D724E" w:rsidRDefault="005D724E" w:rsidP="005D724E">
            <w:pPr>
              <w:spacing w:after="0" w:line="24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rsidR="005D724E" w:rsidRPr="005D724E" w:rsidRDefault="005D724E" w:rsidP="005D724E">
            <w:pPr>
              <w:spacing w:after="0" w:line="240" w:lineRule="auto"/>
              <w:rPr>
                <w:rFonts w:ascii="Times New Roman" w:eastAsia="Times New Roman" w:hAnsi="Times New Roman" w:cs="Times New Roman"/>
                <w:sz w:val="20"/>
                <w:szCs w:val="20"/>
                <w:lang w:eastAsia="en-GB"/>
              </w:rPr>
            </w:pPr>
          </w:p>
        </w:tc>
      </w:tr>
      <w:tr w:rsidR="005D724E" w:rsidRPr="005D724E" w:rsidTr="005D724E">
        <w:trPr>
          <w:trHeight w:val="288"/>
        </w:trPr>
        <w:tc>
          <w:tcPr>
            <w:tcW w:w="1248" w:type="dxa"/>
            <w:tcBorders>
              <w:top w:val="single" w:sz="4" w:space="0" w:color="auto"/>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b/>
                <w:bCs/>
                <w:color w:val="000000"/>
                <w:lang w:eastAsia="en-GB"/>
              </w:rPr>
            </w:pPr>
            <w:r w:rsidRPr="005D724E">
              <w:rPr>
                <w:rFonts w:ascii="Calibri" w:eastAsia="Times New Roman" w:hAnsi="Calibri" w:cs="Calibri"/>
                <w:b/>
                <w:bCs/>
                <w:color w:val="000000"/>
                <w:lang w:eastAsia="en-GB"/>
              </w:rPr>
              <w:t xml:space="preserve">Green Only </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b/>
                <w:bCs/>
                <w:color w:val="000000"/>
                <w:lang w:eastAsia="en-GB"/>
              </w:rPr>
            </w:pPr>
            <w:r w:rsidRPr="005D724E">
              <w:rPr>
                <w:rFonts w:ascii="Calibri" w:eastAsia="Times New Roman" w:hAnsi="Calibri" w:cs="Calibri"/>
                <w:b/>
                <w:bCs/>
                <w:color w:val="000000"/>
                <w:lang w:eastAsia="en-GB"/>
              </w:rPr>
              <w:t>Total</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b/>
                <w:bCs/>
                <w:color w:val="000000"/>
                <w:lang w:eastAsia="en-GB"/>
              </w:rPr>
            </w:pPr>
            <w:r w:rsidRPr="005D724E">
              <w:rPr>
                <w:rFonts w:ascii="Calibri" w:eastAsia="Times New Roman" w:hAnsi="Calibri" w:cs="Calibri"/>
                <w:b/>
                <w:bCs/>
                <w:color w:val="000000"/>
                <w:lang w:eastAsia="en-GB"/>
              </w:rPr>
              <w:t>%</w:t>
            </w:r>
          </w:p>
        </w:tc>
      </w:tr>
      <w:tr w:rsidR="005D724E" w:rsidRPr="005D724E" w:rsidTr="005D724E">
        <w:trPr>
          <w:trHeight w:val="288"/>
        </w:trPr>
        <w:tc>
          <w:tcPr>
            <w:tcW w:w="1248"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color w:val="000000"/>
                <w:lang w:eastAsia="en-GB"/>
              </w:rPr>
            </w:pPr>
            <w:r w:rsidRPr="005D724E">
              <w:rPr>
                <w:rFonts w:ascii="Calibri" w:eastAsia="Times New Roman" w:hAnsi="Calibri" w:cs="Calibri"/>
                <w:color w:val="000000"/>
                <w:lang w:eastAsia="en-GB"/>
              </w:rPr>
              <w:t>UHB</w:t>
            </w:r>
          </w:p>
        </w:tc>
        <w:tc>
          <w:tcPr>
            <w:tcW w:w="560"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color w:val="000000"/>
                <w:lang w:eastAsia="en-GB"/>
              </w:rPr>
            </w:pPr>
            <w:r w:rsidRPr="005D724E">
              <w:rPr>
                <w:rFonts w:ascii="Calibri" w:eastAsia="Times New Roman" w:hAnsi="Calibri" w:cs="Calibri"/>
                <w:color w:val="000000"/>
                <w:lang w:eastAsia="en-GB"/>
              </w:rPr>
              <w:t>138</w:t>
            </w:r>
          </w:p>
        </w:tc>
        <w:tc>
          <w:tcPr>
            <w:tcW w:w="960"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color w:val="000000"/>
                <w:lang w:eastAsia="en-GB"/>
              </w:rPr>
            </w:pPr>
            <w:r w:rsidRPr="005D724E">
              <w:rPr>
                <w:rFonts w:ascii="Calibri" w:eastAsia="Times New Roman" w:hAnsi="Calibri" w:cs="Calibri"/>
                <w:color w:val="000000"/>
                <w:lang w:eastAsia="en-GB"/>
              </w:rPr>
              <w:t>20.35%</w:t>
            </w:r>
          </w:p>
        </w:tc>
      </w:tr>
      <w:tr w:rsidR="005D724E" w:rsidRPr="005D724E" w:rsidTr="005D724E">
        <w:trPr>
          <w:trHeight w:val="300"/>
        </w:trPr>
        <w:tc>
          <w:tcPr>
            <w:tcW w:w="1248"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color w:val="000000"/>
                <w:lang w:eastAsia="en-GB"/>
              </w:rPr>
            </w:pPr>
            <w:r w:rsidRPr="005D724E">
              <w:rPr>
                <w:rFonts w:ascii="Calibri" w:eastAsia="Times New Roman" w:hAnsi="Calibri" w:cs="Calibri"/>
                <w:color w:val="000000"/>
                <w:lang w:eastAsia="en-GB"/>
              </w:rPr>
              <w:t>LA</w:t>
            </w:r>
          </w:p>
        </w:tc>
        <w:tc>
          <w:tcPr>
            <w:tcW w:w="560"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color w:val="000000"/>
                <w:lang w:eastAsia="en-GB"/>
              </w:rPr>
            </w:pPr>
            <w:r w:rsidRPr="005D724E">
              <w:rPr>
                <w:rFonts w:ascii="Calibri" w:eastAsia="Times New Roman" w:hAnsi="Calibri" w:cs="Calibri"/>
                <w:color w:val="000000"/>
                <w:lang w:eastAsia="en-GB"/>
              </w:rPr>
              <w:t>385</w:t>
            </w:r>
          </w:p>
        </w:tc>
        <w:tc>
          <w:tcPr>
            <w:tcW w:w="960"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color w:val="000000"/>
                <w:lang w:eastAsia="en-GB"/>
              </w:rPr>
            </w:pPr>
            <w:r w:rsidRPr="005D724E">
              <w:rPr>
                <w:rFonts w:ascii="Calibri" w:eastAsia="Times New Roman" w:hAnsi="Calibri" w:cs="Calibri"/>
                <w:color w:val="000000"/>
                <w:lang w:eastAsia="en-GB"/>
              </w:rPr>
              <w:t>56.78%</w:t>
            </w:r>
          </w:p>
        </w:tc>
      </w:tr>
      <w:tr w:rsidR="005D724E" w:rsidRPr="005D724E" w:rsidTr="005D724E">
        <w:trPr>
          <w:trHeight w:val="291"/>
        </w:trPr>
        <w:tc>
          <w:tcPr>
            <w:tcW w:w="1248"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color w:val="000000"/>
                <w:lang w:eastAsia="en-GB"/>
              </w:rPr>
            </w:pPr>
            <w:r w:rsidRPr="005D724E">
              <w:rPr>
                <w:rFonts w:ascii="Calibri" w:eastAsia="Times New Roman" w:hAnsi="Calibri" w:cs="Calibri"/>
                <w:color w:val="000000"/>
                <w:lang w:eastAsia="en-GB"/>
              </w:rPr>
              <w:t xml:space="preserve">Joint </w:t>
            </w:r>
          </w:p>
        </w:tc>
        <w:tc>
          <w:tcPr>
            <w:tcW w:w="560"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color w:val="000000"/>
                <w:lang w:eastAsia="en-GB"/>
              </w:rPr>
            </w:pPr>
            <w:r w:rsidRPr="005D724E">
              <w:rPr>
                <w:rFonts w:ascii="Calibri" w:eastAsia="Times New Roman" w:hAnsi="Calibri" w:cs="Calibri"/>
                <w:color w:val="000000"/>
                <w:lang w:eastAsia="en-GB"/>
              </w:rPr>
              <w:t>155</w:t>
            </w:r>
          </w:p>
        </w:tc>
        <w:tc>
          <w:tcPr>
            <w:tcW w:w="960"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color w:val="000000"/>
                <w:lang w:eastAsia="en-GB"/>
              </w:rPr>
            </w:pPr>
            <w:r w:rsidRPr="005D724E">
              <w:rPr>
                <w:rFonts w:ascii="Calibri" w:eastAsia="Times New Roman" w:hAnsi="Calibri" w:cs="Calibri"/>
                <w:color w:val="000000"/>
                <w:lang w:eastAsia="en-GB"/>
              </w:rPr>
              <w:t>22.86%</w:t>
            </w:r>
          </w:p>
        </w:tc>
      </w:tr>
      <w:tr w:rsidR="005D724E" w:rsidRPr="005D724E" w:rsidTr="005D724E">
        <w:trPr>
          <w:trHeight w:val="288"/>
        </w:trPr>
        <w:tc>
          <w:tcPr>
            <w:tcW w:w="1248"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b/>
                <w:bCs/>
                <w:color w:val="000000"/>
                <w:lang w:eastAsia="en-GB"/>
              </w:rPr>
            </w:pPr>
            <w:r w:rsidRPr="005D724E">
              <w:rPr>
                <w:rFonts w:ascii="Calibri" w:eastAsia="Times New Roman" w:hAnsi="Calibri" w:cs="Calibri"/>
                <w:b/>
                <w:bCs/>
                <w:color w:val="000000"/>
                <w:lang w:eastAsia="en-GB"/>
              </w:rPr>
              <w:t>Total</w:t>
            </w:r>
          </w:p>
        </w:tc>
        <w:tc>
          <w:tcPr>
            <w:tcW w:w="560"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b/>
                <w:bCs/>
                <w:color w:val="000000"/>
                <w:lang w:eastAsia="en-GB"/>
              </w:rPr>
            </w:pPr>
            <w:r w:rsidRPr="005D724E">
              <w:rPr>
                <w:rFonts w:ascii="Calibri" w:eastAsia="Times New Roman" w:hAnsi="Calibri" w:cs="Calibri"/>
                <w:b/>
                <w:bCs/>
                <w:color w:val="000000"/>
                <w:lang w:eastAsia="en-GB"/>
              </w:rPr>
              <w:t>678</w:t>
            </w:r>
          </w:p>
        </w:tc>
        <w:tc>
          <w:tcPr>
            <w:tcW w:w="960" w:type="dxa"/>
            <w:tcBorders>
              <w:top w:val="nil"/>
              <w:left w:val="nil"/>
              <w:bottom w:val="single" w:sz="4" w:space="0" w:color="auto"/>
              <w:right w:val="single" w:sz="4" w:space="0" w:color="auto"/>
            </w:tcBorders>
            <w:shd w:val="clear" w:color="auto" w:fill="auto"/>
            <w:noWrap/>
            <w:vAlign w:val="bottom"/>
            <w:hideMark/>
          </w:tcPr>
          <w:p w:rsidR="005D724E" w:rsidRPr="005D724E" w:rsidRDefault="005D724E" w:rsidP="005D724E">
            <w:pPr>
              <w:spacing w:after="0" w:line="240" w:lineRule="auto"/>
              <w:jc w:val="right"/>
              <w:rPr>
                <w:rFonts w:ascii="Calibri" w:eastAsia="Times New Roman" w:hAnsi="Calibri" w:cs="Calibri"/>
                <w:b/>
                <w:bCs/>
                <w:color w:val="000000"/>
                <w:lang w:eastAsia="en-GB"/>
              </w:rPr>
            </w:pPr>
            <w:r w:rsidRPr="005D724E">
              <w:rPr>
                <w:rFonts w:ascii="Calibri" w:eastAsia="Times New Roman" w:hAnsi="Calibri" w:cs="Calibri"/>
                <w:b/>
                <w:bCs/>
                <w:color w:val="000000"/>
                <w:lang w:eastAsia="en-GB"/>
              </w:rPr>
              <w:t>100.00%</w:t>
            </w:r>
          </w:p>
        </w:tc>
      </w:tr>
    </w:tbl>
    <w:p w:rsidR="007E3272" w:rsidRDefault="007E3272" w:rsidP="00D81B78">
      <w:pPr>
        <w:jc w:val="both"/>
      </w:pPr>
    </w:p>
    <w:p w:rsidR="001809DF" w:rsidRDefault="001809DF" w:rsidP="00D81B78">
      <w:pPr>
        <w:jc w:val="both"/>
      </w:pPr>
      <w:r w:rsidRPr="001809DF">
        <w:rPr>
          <w:noProof/>
          <w:lang w:eastAsia="en-GB"/>
        </w:rPr>
        <w:drawing>
          <wp:inline distT="0" distB="0" distL="0" distR="0" wp14:anchorId="0AABC317" wp14:editId="7A6803B9">
            <wp:extent cx="6319044" cy="739140"/>
            <wp:effectExtent l="0" t="0" r="5715" b="38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341717" cy="741792"/>
                    </a:xfrm>
                    <a:prstGeom prst="rect">
                      <a:avLst/>
                    </a:prstGeom>
                    <a:noFill/>
                    <a:ln>
                      <a:noFill/>
                    </a:ln>
                  </pic:spPr>
                </pic:pic>
              </a:graphicData>
            </a:graphic>
          </wp:inline>
        </w:drawing>
      </w:r>
    </w:p>
    <w:p w:rsidR="00B17187" w:rsidRDefault="001809DF" w:rsidP="00D81B78">
      <w:pPr>
        <w:jc w:val="both"/>
      </w:pPr>
      <w:r>
        <w:t xml:space="preserve">Figures 3 &amp; 4 demonstrate the joint endeavour </w:t>
      </w:r>
      <w:r w:rsidR="00C37EFC">
        <w:t xml:space="preserve">mechanism was effective at delivering capacity across organisations </w:t>
      </w:r>
      <w:r w:rsidR="00ED10F2">
        <w:t>for</w:t>
      </w:r>
      <w:r w:rsidR="00C37EFC">
        <w:t xml:space="preserve"> both Physical beds and Community Capacity. </w:t>
      </w:r>
      <w:r w:rsidR="00ED10F2">
        <w:t xml:space="preserve">There was also an endeavour improve efficiencies which </w:t>
      </w:r>
      <w:r w:rsidR="00546061">
        <w:t>could not always</w:t>
      </w:r>
      <w:r w:rsidR="00ED10F2">
        <w:t xml:space="preserve"> </w:t>
      </w:r>
      <w:r w:rsidR="00C37EFC">
        <w:t>be effe</w:t>
      </w:r>
      <w:r w:rsidR="00B17187">
        <w:t>ctively captured and sustained.</w:t>
      </w:r>
      <w:r w:rsidR="00ED10F2">
        <w:t xml:space="preserve"> </w:t>
      </w:r>
    </w:p>
    <w:p w:rsidR="00574B9D" w:rsidRPr="00574B9D" w:rsidRDefault="00574B9D" w:rsidP="00D81B78">
      <w:pPr>
        <w:jc w:val="both"/>
        <w:rPr>
          <w:u w:val="single"/>
        </w:rPr>
      </w:pPr>
      <w:r w:rsidRPr="00574B9D">
        <w:rPr>
          <w:u w:val="single"/>
        </w:rPr>
        <w:t xml:space="preserve">Examples of Best Practice </w:t>
      </w:r>
    </w:p>
    <w:p w:rsidR="0047061C" w:rsidRDefault="0047061C" w:rsidP="002014F9">
      <w:pPr>
        <w:pStyle w:val="ListParagraph"/>
        <w:numPr>
          <w:ilvl w:val="0"/>
          <w:numId w:val="7"/>
        </w:numPr>
        <w:jc w:val="both"/>
      </w:pPr>
      <w:r>
        <w:lastRenderedPageBreak/>
        <w:t xml:space="preserve">Overseas Recruitment </w:t>
      </w:r>
    </w:p>
    <w:p w:rsidR="0047061C" w:rsidRDefault="003C2353" w:rsidP="00D81B78">
      <w:pPr>
        <w:jc w:val="both"/>
      </w:pPr>
      <w:r>
        <w:t xml:space="preserve"> An</w:t>
      </w:r>
      <w:r w:rsidR="002046C8">
        <w:t xml:space="preserve"> overseas recruitment drive in the N.</w:t>
      </w:r>
      <w:r w:rsidR="000C7ED5">
        <w:t xml:space="preserve"> </w:t>
      </w:r>
      <w:r w:rsidR="002046C8">
        <w:t>Wales region</w:t>
      </w:r>
      <w:r>
        <w:t xml:space="preserve"> has demonstrated some positive results</w:t>
      </w:r>
      <w:r w:rsidR="002046C8">
        <w:t xml:space="preserve">.  This scheme has delivered approximately 750 hours of additional </w:t>
      </w:r>
      <w:r w:rsidR="000C7ED5">
        <w:t>domiciliary</w:t>
      </w:r>
      <w:r w:rsidR="002046C8">
        <w:t xml:space="preserve"> care into the social care system and the </w:t>
      </w:r>
      <w:r w:rsidR="00ED10F2">
        <w:t xml:space="preserve">LA </w:t>
      </w:r>
      <w:r w:rsidR="00546061">
        <w:t>area, which</w:t>
      </w:r>
      <w:r w:rsidR="00ED10F2">
        <w:t xml:space="preserve"> </w:t>
      </w:r>
      <w:r w:rsidR="002046C8">
        <w:t>now has one of lowest numbers of delayed dischar</w:t>
      </w:r>
      <w:r w:rsidR="000C7ED5">
        <w:t>ges since the pandemic. The relevant</w:t>
      </w:r>
      <w:r w:rsidR="002046C8">
        <w:t xml:space="preserve"> Local Authority did not undertake the recruitment, but </w:t>
      </w:r>
      <w:r w:rsidR="000C7ED5">
        <w:t>supported</w:t>
      </w:r>
      <w:r w:rsidR="002046C8">
        <w:t xml:space="preserve"> </w:t>
      </w:r>
      <w:r w:rsidR="000C7ED5">
        <w:t xml:space="preserve">the </w:t>
      </w:r>
      <w:r>
        <w:t xml:space="preserve">independent </w:t>
      </w:r>
      <w:r w:rsidR="000C7ED5">
        <w:t xml:space="preserve">care </w:t>
      </w:r>
      <w:r>
        <w:t>provider</w:t>
      </w:r>
      <w:r w:rsidR="000C7ED5">
        <w:t xml:space="preserve">. </w:t>
      </w:r>
      <w:r w:rsidR="004362F9">
        <w:t>The recruitment via overseas mechanisms has been explored in other areas but is not widespread and presents opportunit</w:t>
      </w:r>
      <w:r w:rsidR="00636E0D">
        <w:t>ies</w:t>
      </w:r>
      <w:r w:rsidR="004362F9">
        <w:t xml:space="preserve"> for</w:t>
      </w:r>
      <w:r w:rsidR="00636E0D">
        <w:t xml:space="preserve"> further</w:t>
      </w:r>
      <w:r w:rsidR="004362F9">
        <w:t xml:space="preserve"> roll out. </w:t>
      </w:r>
    </w:p>
    <w:p w:rsidR="0047061C" w:rsidRDefault="004362F9" w:rsidP="002014F9">
      <w:pPr>
        <w:pStyle w:val="ListParagraph"/>
        <w:numPr>
          <w:ilvl w:val="0"/>
          <w:numId w:val="7"/>
        </w:numPr>
        <w:jc w:val="both"/>
      </w:pPr>
      <w:r>
        <w:t xml:space="preserve">Micro-Enterprises. </w:t>
      </w:r>
    </w:p>
    <w:p w:rsidR="004362F9" w:rsidRDefault="00343283" w:rsidP="00D81B78">
      <w:pPr>
        <w:jc w:val="both"/>
      </w:pPr>
      <w:r>
        <w:t xml:space="preserve">The concept of micro-enterprises has grown during the process </w:t>
      </w:r>
      <w:r w:rsidR="00BA4A3B">
        <w:t xml:space="preserve">with a number of different methods being used to grow capacity within this area. Some LAs have used organisations such as Community Catalysts whilst some </w:t>
      </w:r>
      <w:r w:rsidR="00546061">
        <w:t>have developed</w:t>
      </w:r>
      <w:r w:rsidR="00636E0D">
        <w:t xml:space="preserve"> </w:t>
      </w:r>
      <w:r w:rsidR="00BA4A3B">
        <w:t>internal</w:t>
      </w:r>
      <w:r w:rsidR="00636E0D">
        <w:t xml:space="preserve"> delivery mechanisms</w:t>
      </w:r>
      <w:r w:rsidR="00BA4A3B">
        <w:t>. Both</w:t>
      </w:r>
      <w:r w:rsidR="00636E0D">
        <w:t xml:space="preserve"> models</w:t>
      </w:r>
      <w:r w:rsidR="00BA4A3B">
        <w:t xml:space="preserve"> have had success with the most successful being in Denbighshire w</w:t>
      </w:r>
      <w:r w:rsidR="005F3B2D">
        <w:t>ith a total 26 personnel supporting</w:t>
      </w:r>
      <w:r w:rsidR="00BA4A3B">
        <w:t xml:space="preserve"> </w:t>
      </w:r>
      <w:r w:rsidR="005F3B2D">
        <w:t xml:space="preserve">140 citizens. Microenterprises have been particularly useful at </w:t>
      </w:r>
      <w:r w:rsidR="00636E0D">
        <w:t xml:space="preserve">returning </w:t>
      </w:r>
      <w:r w:rsidR="005F3B2D">
        <w:t xml:space="preserve">staff back into the social care workforce </w:t>
      </w:r>
      <w:r w:rsidR="00546061">
        <w:t>and</w:t>
      </w:r>
      <w:r w:rsidR="005F3B2D">
        <w:t xml:space="preserve"> supporting individuals with complex social </w:t>
      </w:r>
      <w:r w:rsidR="00546061">
        <w:t>issues, which</w:t>
      </w:r>
      <w:r w:rsidR="00636E0D">
        <w:t xml:space="preserve"> on </w:t>
      </w:r>
      <w:r w:rsidR="001E09F4">
        <w:t xml:space="preserve">occasion </w:t>
      </w:r>
      <w:r w:rsidR="00546061">
        <w:t>providers,</w:t>
      </w:r>
      <w:r w:rsidR="005F3B2D">
        <w:t xml:space="preserve"> struggled to consistently cover. </w:t>
      </w:r>
    </w:p>
    <w:p w:rsidR="0047061C" w:rsidRDefault="0047061C" w:rsidP="002014F9">
      <w:pPr>
        <w:pStyle w:val="ListParagraph"/>
        <w:numPr>
          <w:ilvl w:val="0"/>
          <w:numId w:val="7"/>
        </w:numPr>
        <w:jc w:val="both"/>
      </w:pPr>
      <w:r>
        <w:t xml:space="preserve">Reablement Agency </w:t>
      </w:r>
    </w:p>
    <w:p w:rsidR="0047061C" w:rsidRDefault="005F3B2D" w:rsidP="00D81B78">
      <w:pPr>
        <w:jc w:val="both"/>
      </w:pPr>
      <w:r>
        <w:t xml:space="preserve">A </w:t>
      </w:r>
      <w:r w:rsidR="001A573F">
        <w:t>scheme that was an early success</w:t>
      </w:r>
      <w:r>
        <w:t xml:space="preserve"> was the use of an English </w:t>
      </w:r>
      <w:r w:rsidR="003C2353">
        <w:t xml:space="preserve">workforce </w:t>
      </w:r>
      <w:r>
        <w:t>agency to</w:t>
      </w:r>
      <w:r w:rsidR="00636E0D">
        <w:t xml:space="preserve"> provide</w:t>
      </w:r>
      <w:r>
        <w:t xml:space="preserve"> </w:t>
      </w:r>
      <w:r w:rsidR="003C2353">
        <w:t>additional staff to support</w:t>
      </w:r>
      <w:r>
        <w:t xml:space="preserve"> reablement care in the Bridgend area. The programme was initially planned to deliver 300 hours per week, but it has now surpassed this initial expectation</w:t>
      </w:r>
      <w:r w:rsidR="007D7487">
        <w:t xml:space="preserve"> </w:t>
      </w:r>
      <w:r w:rsidR="00636E0D">
        <w:t>and</w:t>
      </w:r>
      <w:r w:rsidR="007D7487">
        <w:t xml:space="preserve"> deliver</w:t>
      </w:r>
      <w:r w:rsidR="00636E0D">
        <w:t>s</w:t>
      </w:r>
      <w:r>
        <w:t xml:space="preserve"> </w:t>
      </w:r>
      <w:r w:rsidR="001E09F4">
        <w:t>640 hours. These hours</w:t>
      </w:r>
      <w:r w:rsidR="007D7487">
        <w:t xml:space="preserve"> </w:t>
      </w:r>
      <w:r w:rsidR="00636E0D">
        <w:t>had</w:t>
      </w:r>
      <w:r w:rsidR="007D7487">
        <w:t xml:space="preserve"> a stabilising effect on the regions capacity </w:t>
      </w:r>
      <w:r w:rsidR="001E09F4">
        <w:t>and was seen to be</w:t>
      </w:r>
      <w:r w:rsidR="003C2353">
        <w:t xml:space="preserve"> instrumental in providing cover for </w:t>
      </w:r>
      <w:r w:rsidR="007D7487">
        <w:t xml:space="preserve">sickness and vacancies. </w:t>
      </w:r>
      <w:r w:rsidR="000B630D">
        <w:t xml:space="preserve">It also </w:t>
      </w:r>
      <w:r w:rsidR="00636E0D">
        <w:t xml:space="preserve">supported the </w:t>
      </w:r>
      <w:r w:rsidR="000B630D">
        <w:t xml:space="preserve">transitioning </w:t>
      </w:r>
      <w:r w:rsidR="003C2353">
        <w:t xml:space="preserve">of people </w:t>
      </w:r>
      <w:r w:rsidR="000B630D">
        <w:t xml:space="preserve">from the reablement caseload into </w:t>
      </w:r>
      <w:r w:rsidR="001A573F">
        <w:t>longer-term</w:t>
      </w:r>
      <w:r w:rsidR="000B630D">
        <w:t xml:space="preserve"> domiciliary</w:t>
      </w:r>
      <w:r w:rsidR="00B92CAE">
        <w:t xml:space="preserve"> care enabling </w:t>
      </w:r>
      <w:r w:rsidR="001E09F4">
        <w:t>further capacity</w:t>
      </w:r>
      <w:r w:rsidR="003C2353">
        <w:t xml:space="preserve"> for </w:t>
      </w:r>
      <w:r w:rsidR="00B92CAE">
        <w:t xml:space="preserve">the reablement pathway </w:t>
      </w:r>
      <w:r w:rsidR="001E09F4">
        <w:t>with rightsizing</w:t>
      </w:r>
      <w:r w:rsidR="00B92CAE">
        <w:t xml:space="preserve">. </w:t>
      </w:r>
    </w:p>
    <w:p w:rsidR="0047061C" w:rsidRDefault="0047061C" w:rsidP="002014F9">
      <w:pPr>
        <w:pStyle w:val="ListParagraph"/>
        <w:numPr>
          <w:ilvl w:val="0"/>
          <w:numId w:val="7"/>
        </w:numPr>
        <w:jc w:val="both"/>
      </w:pPr>
      <w:r>
        <w:t xml:space="preserve">Step Down to Recovery Beds </w:t>
      </w:r>
    </w:p>
    <w:p w:rsidR="00B20D1F" w:rsidRDefault="00C27150" w:rsidP="00D81B78">
      <w:pPr>
        <w:jc w:val="both"/>
      </w:pPr>
      <w:r>
        <w:t xml:space="preserve">With attempts to grow the immediate bed capacity within the care home sector, there were two </w:t>
      </w:r>
      <w:r w:rsidR="00636E0D">
        <w:t>distinct models</w:t>
      </w:r>
      <w:r w:rsidR="006F48C5">
        <w:t xml:space="preserve"> </w:t>
      </w:r>
      <w:r>
        <w:t xml:space="preserve">across the regions, Step Down to Recover (SD2R) and Bridging. The SD2R models were the most effective at rightsizing packages and maximising throughput, with up to 80% of </w:t>
      </w:r>
      <w:r w:rsidR="00C143DE">
        <w:t>patients returning</w:t>
      </w:r>
      <w:r w:rsidR="006F48C5">
        <w:t xml:space="preserve"> to their own home </w:t>
      </w:r>
      <w:r>
        <w:t xml:space="preserve">with no ongoing care. Two </w:t>
      </w:r>
      <w:r w:rsidR="000A1002">
        <w:t>schemes that stood</w:t>
      </w:r>
      <w:r w:rsidR="00C143DE">
        <w:t xml:space="preserve"> out</w:t>
      </w:r>
      <w:r w:rsidR="000A1002">
        <w:t xml:space="preserve"> were</w:t>
      </w:r>
      <w:r>
        <w:t xml:space="preserve"> the Ty Pili Pala in West Wales and Gorseinon Care Home in West Glamorgan. These schemes were based on expanding on existing SD2R capacity, with therapies provision already attached. Other regions struggled to develop </w:t>
      </w:r>
      <w:r w:rsidR="00C143DE">
        <w:t>SD2R due</w:t>
      </w:r>
      <w:r w:rsidR="006F48C5">
        <w:t xml:space="preserve"> to </w:t>
      </w:r>
      <w:r>
        <w:t>therapy constraints</w:t>
      </w:r>
      <w:r w:rsidR="006F48C5">
        <w:t>.</w:t>
      </w:r>
      <w:r>
        <w:t xml:space="preserve"> In mitigation the bridging capacity </w:t>
      </w:r>
      <w:r w:rsidR="006F48C5">
        <w:t xml:space="preserve">model, while providing additional capacity was reported to be a greater challenge for both the initial placement and moving people back to home. </w:t>
      </w:r>
    </w:p>
    <w:p w:rsidR="00C143DE" w:rsidRPr="00C143DE" w:rsidRDefault="00C143DE" w:rsidP="00C143DE">
      <w:pPr>
        <w:jc w:val="both"/>
      </w:pPr>
      <w:r w:rsidRPr="00C143DE">
        <w:t>SD2R National Minimum Service Guidelines</w:t>
      </w:r>
      <w:r>
        <w:t xml:space="preserve"> were developed by the Task Team and Goal 6 colleagues to support the RPBs and operational teams to best design SD2R beds. </w:t>
      </w:r>
    </w:p>
    <w:p w:rsidR="00C143DE" w:rsidRDefault="00BE14CE" w:rsidP="00D81B78">
      <w:pPr>
        <w:jc w:val="both"/>
        <w:rPr>
          <w:b/>
          <w:i/>
          <w:u w:val="single"/>
        </w:rPr>
      </w:pPr>
      <w:r>
        <w:rPr>
          <w:b/>
          <w:i/>
          <w:u w:val="single"/>
        </w:rPr>
        <w:t>2023/2024 Impact</w:t>
      </w:r>
    </w:p>
    <w:p w:rsidR="00BE14CE" w:rsidRDefault="00BE14CE" w:rsidP="00D81B78">
      <w:pPr>
        <w:jc w:val="both"/>
      </w:pPr>
      <w:r>
        <w:t xml:space="preserve">Whilst the Building Community Capacity programme was focused on winter 2022/23 all Regions were requested, where possible to explore opportunities to increase capacity on a recurring basis.  As a </w:t>
      </w:r>
      <w:r w:rsidRPr="00BE14CE">
        <w:rPr>
          <w:b/>
        </w:rPr>
        <w:t>result, circa 500 beds or equivalent services are recurring into 2023/24</w:t>
      </w:r>
      <w:r>
        <w:t xml:space="preserve"> largely funded from RIF funding.  These schemes are mixture of 2022/23 schemes which will continue and those schemes which were established as part of the BCC programme but do not commence until Mar/Apr 2023 and will be in place throughout 2023/24.</w:t>
      </w:r>
    </w:p>
    <w:p w:rsidR="00BE14CE" w:rsidRDefault="00BE14CE" w:rsidP="00D81B78">
      <w:pPr>
        <w:jc w:val="both"/>
      </w:pPr>
      <w:r>
        <w:lastRenderedPageBreak/>
        <w:t>The table below provides a high level summary of this recurring capacity per Region.  It should however be noted that whilst this capacity is/will be commissioned as with all capacity it is dependent on private sector market stability and workforce.</w:t>
      </w:r>
    </w:p>
    <w:tbl>
      <w:tblPr>
        <w:tblW w:w="5272" w:type="dxa"/>
        <w:tblLook w:val="04A0" w:firstRow="1" w:lastRow="0" w:firstColumn="1" w:lastColumn="0" w:noHBand="0" w:noVBand="1"/>
      </w:tblPr>
      <w:tblGrid>
        <w:gridCol w:w="1092"/>
        <w:gridCol w:w="1280"/>
        <w:gridCol w:w="1940"/>
        <w:gridCol w:w="960"/>
      </w:tblGrid>
      <w:tr w:rsidR="000B4A03" w:rsidRPr="000B4A03" w:rsidTr="000B4A03">
        <w:trPr>
          <w:trHeight w:val="288"/>
        </w:trPr>
        <w:tc>
          <w:tcPr>
            <w:tcW w:w="10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rPr>
                <w:rFonts w:ascii="Calibri" w:eastAsia="Times New Roman" w:hAnsi="Calibri" w:cs="Calibri"/>
                <w:b/>
                <w:bCs/>
                <w:color w:val="000000"/>
                <w:lang w:eastAsia="en-GB"/>
              </w:rPr>
            </w:pPr>
            <w:r w:rsidRPr="000B4A03">
              <w:rPr>
                <w:rFonts w:ascii="Calibri" w:eastAsia="Times New Roman" w:hAnsi="Calibri" w:cs="Calibri"/>
                <w:b/>
                <w:bCs/>
                <w:color w:val="000000"/>
                <w:lang w:eastAsia="en-GB"/>
              </w:rPr>
              <w:t>Region</w:t>
            </w:r>
          </w:p>
        </w:tc>
        <w:tc>
          <w:tcPr>
            <w:tcW w:w="1280" w:type="dxa"/>
            <w:tcBorders>
              <w:top w:val="single" w:sz="4" w:space="0" w:color="auto"/>
              <w:left w:val="nil"/>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rPr>
                <w:rFonts w:ascii="Calibri" w:eastAsia="Times New Roman" w:hAnsi="Calibri" w:cs="Calibri"/>
                <w:b/>
                <w:bCs/>
                <w:color w:val="000000"/>
                <w:lang w:eastAsia="en-GB"/>
              </w:rPr>
            </w:pPr>
            <w:r w:rsidRPr="000B4A03">
              <w:rPr>
                <w:rFonts w:ascii="Calibri" w:eastAsia="Times New Roman" w:hAnsi="Calibri" w:cs="Calibri"/>
                <w:b/>
                <w:bCs/>
                <w:color w:val="000000"/>
                <w:lang w:eastAsia="en-GB"/>
              </w:rPr>
              <w:t>Physical Beds</w:t>
            </w:r>
          </w:p>
        </w:tc>
        <w:tc>
          <w:tcPr>
            <w:tcW w:w="1940" w:type="dxa"/>
            <w:tcBorders>
              <w:top w:val="single" w:sz="4" w:space="0" w:color="auto"/>
              <w:left w:val="nil"/>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rPr>
                <w:rFonts w:ascii="Calibri" w:eastAsia="Times New Roman" w:hAnsi="Calibri" w:cs="Calibri"/>
                <w:b/>
                <w:bCs/>
                <w:color w:val="000000"/>
                <w:lang w:eastAsia="en-GB"/>
              </w:rPr>
            </w:pPr>
            <w:r w:rsidRPr="000B4A03">
              <w:rPr>
                <w:rFonts w:ascii="Calibri" w:eastAsia="Times New Roman" w:hAnsi="Calibri" w:cs="Calibri"/>
                <w:b/>
                <w:bCs/>
                <w:color w:val="000000"/>
                <w:lang w:eastAsia="en-GB"/>
              </w:rPr>
              <w:t>Community Capacity</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rPr>
                <w:rFonts w:ascii="Calibri" w:eastAsia="Times New Roman" w:hAnsi="Calibri" w:cs="Calibri"/>
                <w:b/>
                <w:bCs/>
                <w:color w:val="000000"/>
                <w:lang w:eastAsia="en-GB"/>
              </w:rPr>
            </w:pPr>
            <w:r w:rsidRPr="000B4A03">
              <w:rPr>
                <w:rFonts w:ascii="Calibri" w:eastAsia="Times New Roman" w:hAnsi="Calibri" w:cs="Calibri"/>
                <w:b/>
                <w:bCs/>
                <w:color w:val="000000"/>
                <w:lang w:eastAsia="en-GB"/>
              </w:rPr>
              <w:t>Total</w:t>
            </w:r>
          </w:p>
        </w:tc>
      </w:tr>
      <w:tr w:rsidR="000B4A03" w:rsidRPr="000B4A03" w:rsidTr="000B4A03">
        <w:trPr>
          <w:trHeight w:val="288"/>
        </w:trPr>
        <w:tc>
          <w:tcPr>
            <w:tcW w:w="1092" w:type="dxa"/>
            <w:tcBorders>
              <w:top w:val="nil"/>
              <w:left w:val="single" w:sz="4" w:space="0" w:color="auto"/>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rPr>
                <w:rFonts w:ascii="Calibri" w:eastAsia="Times New Roman" w:hAnsi="Calibri" w:cs="Calibri"/>
                <w:color w:val="000000"/>
                <w:lang w:eastAsia="en-GB"/>
              </w:rPr>
            </w:pPr>
            <w:r w:rsidRPr="000B4A03">
              <w:rPr>
                <w:rFonts w:ascii="Calibri" w:eastAsia="Times New Roman" w:hAnsi="Calibri" w:cs="Calibri"/>
                <w:color w:val="000000"/>
                <w:lang w:eastAsia="en-GB"/>
              </w:rPr>
              <w:t xml:space="preserve">Gwent </w:t>
            </w:r>
          </w:p>
        </w:tc>
        <w:tc>
          <w:tcPr>
            <w:tcW w:w="1280" w:type="dxa"/>
            <w:tcBorders>
              <w:top w:val="nil"/>
              <w:left w:val="nil"/>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jc w:val="right"/>
              <w:rPr>
                <w:rFonts w:ascii="Calibri" w:eastAsia="Times New Roman" w:hAnsi="Calibri" w:cs="Calibri"/>
                <w:color w:val="000000"/>
                <w:lang w:eastAsia="en-GB"/>
              </w:rPr>
            </w:pPr>
            <w:r w:rsidRPr="000B4A03">
              <w:rPr>
                <w:rFonts w:ascii="Calibri" w:eastAsia="Times New Roman" w:hAnsi="Calibri" w:cs="Calibri"/>
                <w:color w:val="000000"/>
                <w:lang w:eastAsia="en-GB"/>
              </w:rPr>
              <w:t>20</w:t>
            </w:r>
          </w:p>
        </w:tc>
        <w:tc>
          <w:tcPr>
            <w:tcW w:w="1940" w:type="dxa"/>
            <w:tcBorders>
              <w:top w:val="nil"/>
              <w:left w:val="nil"/>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jc w:val="right"/>
              <w:rPr>
                <w:rFonts w:ascii="Calibri" w:eastAsia="Times New Roman" w:hAnsi="Calibri" w:cs="Calibri"/>
                <w:color w:val="000000"/>
                <w:lang w:eastAsia="en-GB"/>
              </w:rPr>
            </w:pPr>
            <w:r w:rsidRPr="000B4A03">
              <w:rPr>
                <w:rFonts w:ascii="Calibri" w:eastAsia="Times New Roman" w:hAnsi="Calibri" w:cs="Calibri"/>
                <w:color w:val="000000"/>
                <w:lang w:eastAsia="en-GB"/>
              </w:rPr>
              <w:t>32</w:t>
            </w:r>
          </w:p>
        </w:tc>
        <w:tc>
          <w:tcPr>
            <w:tcW w:w="960" w:type="dxa"/>
            <w:tcBorders>
              <w:top w:val="nil"/>
              <w:left w:val="nil"/>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jc w:val="right"/>
              <w:rPr>
                <w:rFonts w:ascii="Calibri" w:eastAsia="Times New Roman" w:hAnsi="Calibri" w:cs="Calibri"/>
                <w:color w:val="000000"/>
                <w:lang w:eastAsia="en-GB"/>
              </w:rPr>
            </w:pPr>
            <w:r w:rsidRPr="000B4A03">
              <w:rPr>
                <w:rFonts w:ascii="Calibri" w:eastAsia="Times New Roman" w:hAnsi="Calibri" w:cs="Calibri"/>
                <w:color w:val="000000"/>
                <w:lang w:eastAsia="en-GB"/>
              </w:rPr>
              <w:t>52</w:t>
            </w:r>
          </w:p>
        </w:tc>
      </w:tr>
      <w:tr w:rsidR="000B4A03" w:rsidRPr="000B4A03" w:rsidTr="000B4A03">
        <w:trPr>
          <w:trHeight w:val="288"/>
        </w:trPr>
        <w:tc>
          <w:tcPr>
            <w:tcW w:w="1092" w:type="dxa"/>
            <w:tcBorders>
              <w:top w:val="nil"/>
              <w:left w:val="single" w:sz="4" w:space="0" w:color="auto"/>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rPr>
                <w:rFonts w:ascii="Calibri" w:eastAsia="Times New Roman" w:hAnsi="Calibri" w:cs="Calibri"/>
                <w:color w:val="000000"/>
                <w:lang w:eastAsia="en-GB"/>
              </w:rPr>
            </w:pPr>
            <w:r w:rsidRPr="000B4A03">
              <w:rPr>
                <w:rFonts w:ascii="Calibri" w:eastAsia="Times New Roman" w:hAnsi="Calibri" w:cs="Calibri"/>
                <w:color w:val="000000"/>
                <w:lang w:eastAsia="en-GB"/>
              </w:rPr>
              <w:t>N.Wales</w:t>
            </w:r>
          </w:p>
        </w:tc>
        <w:tc>
          <w:tcPr>
            <w:tcW w:w="1280" w:type="dxa"/>
            <w:tcBorders>
              <w:top w:val="nil"/>
              <w:left w:val="nil"/>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jc w:val="right"/>
              <w:rPr>
                <w:rFonts w:ascii="Calibri" w:eastAsia="Times New Roman" w:hAnsi="Calibri" w:cs="Calibri"/>
                <w:color w:val="000000"/>
                <w:lang w:eastAsia="en-GB"/>
              </w:rPr>
            </w:pPr>
            <w:r w:rsidRPr="000B4A03">
              <w:rPr>
                <w:rFonts w:ascii="Calibri" w:eastAsia="Times New Roman" w:hAnsi="Calibri" w:cs="Calibri"/>
                <w:color w:val="000000"/>
                <w:lang w:eastAsia="en-GB"/>
              </w:rPr>
              <w:t>3</w:t>
            </w:r>
          </w:p>
        </w:tc>
        <w:tc>
          <w:tcPr>
            <w:tcW w:w="1940" w:type="dxa"/>
            <w:tcBorders>
              <w:top w:val="nil"/>
              <w:left w:val="nil"/>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jc w:val="right"/>
              <w:rPr>
                <w:rFonts w:ascii="Calibri" w:eastAsia="Times New Roman" w:hAnsi="Calibri" w:cs="Calibri"/>
                <w:color w:val="000000"/>
                <w:lang w:eastAsia="en-GB"/>
              </w:rPr>
            </w:pPr>
            <w:r w:rsidRPr="000B4A03">
              <w:rPr>
                <w:rFonts w:ascii="Calibri" w:eastAsia="Times New Roman" w:hAnsi="Calibri" w:cs="Calibri"/>
                <w:color w:val="000000"/>
                <w:lang w:eastAsia="en-GB"/>
              </w:rPr>
              <w:t>99</w:t>
            </w:r>
          </w:p>
        </w:tc>
        <w:tc>
          <w:tcPr>
            <w:tcW w:w="960" w:type="dxa"/>
            <w:tcBorders>
              <w:top w:val="nil"/>
              <w:left w:val="nil"/>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jc w:val="right"/>
              <w:rPr>
                <w:rFonts w:ascii="Calibri" w:eastAsia="Times New Roman" w:hAnsi="Calibri" w:cs="Calibri"/>
                <w:color w:val="000000"/>
                <w:lang w:eastAsia="en-GB"/>
              </w:rPr>
            </w:pPr>
            <w:r w:rsidRPr="000B4A03">
              <w:rPr>
                <w:rFonts w:ascii="Calibri" w:eastAsia="Times New Roman" w:hAnsi="Calibri" w:cs="Calibri"/>
                <w:color w:val="000000"/>
                <w:lang w:eastAsia="en-GB"/>
              </w:rPr>
              <w:t>102</w:t>
            </w:r>
          </w:p>
        </w:tc>
      </w:tr>
      <w:tr w:rsidR="000B4A03" w:rsidRPr="000B4A03" w:rsidTr="000B4A03">
        <w:trPr>
          <w:trHeight w:val="288"/>
        </w:trPr>
        <w:tc>
          <w:tcPr>
            <w:tcW w:w="1092" w:type="dxa"/>
            <w:tcBorders>
              <w:top w:val="nil"/>
              <w:left w:val="single" w:sz="4" w:space="0" w:color="auto"/>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rPr>
                <w:rFonts w:ascii="Calibri" w:eastAsia="Times New Roman" w:hAnsi="Calibri" w:cs="Calibri"/>
                <w:color w:val="000000"/>
                <w:lang w:eastAsia="en-GB"/>
              </w:rPr>
            </w:pPr>
            <w:r w:rsidRPr="000B4A03">
              <w:rPr>
                <w:rFonts w:ascii="Calibri" w:eastAsia="Times New Roman" w:hAnsi="Calibri" w:cs="Calibri"/>
                <w:color w:val="000000"/>
                <w:lang w:eastAsia="en-GB"/>
              </w:rPr>
              <w:t>CTM</w:t>
            </w:r>
          </w:p>
        </w:tc>
        <w:tc>
          <w:tcPr>
            <w:tcW w:w="1280" w:type="dxa"/>
            <w:tcBorders>
              <w:top w:val="nil"/>
              <w:left w:val="nil"/>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jc w:val="right"/>
              <w:rPr>
                <w:rFonts w:ascii="Calibri" w:eastAsia="Times New Roman" w:hAnsi="Calibri" w:cs="Calibri"/>
                <w:color w:val="000000"/>
                <w:lang w:eastAsia="en-GB"/>
              </w:rPr>
            </w:pPr>
            <w:r w:rsidRPr="000B4A03">
              <w:rPr>
                <w:rFonts w:ascii="Calibri" w:eastAsia="Times New Roman" w:hAnsi="Calibri" w:cs="Calibri"/>
                <w:color w:val="000000"/>
                <w:lang w:eastAsia="en-GB"/>
              </w:rPr>
              <w:t>34</w:t>
            </w:r>
          </w:p>
        </w:tc>
        <w:tc>
          <w:tcPr>
            <w:tcW w:w="1940" w:type="dxa"/>
            <w:tcBorders>
              <w:top w:val="nil"/>
              <w:left w:val="nil"/>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jc w:val="right"/>
              <w:rPr>
                <w:rFonts w:ascii="Calibri" w:eastAsia="Times New Roman" w:hAnsi="Calibri" w:cs="Calibri"/>
                <w:color w:val="000000"/>
                <w:lang w:eastAsia="en-GB"/>
              </w:rPr>
            </w:pPr>
            <w:r w:rsidRPr="000B4A03">
              <w:rPr>
                <w:rFonts w:ascii="Calibri" w:eastAsia="Times New Roman" w:hAnsi="Calibri" w:cs="Calibri"/>
                <w:color w:val="000000"/>
                <w:lang w:eastAsia="en-GB"/>
              </w:rPr>
              <w:t>75</w:t>
            </w:r>
          </w:p>
        </w:tc>
        <w:tc>
          <w:tcPr>
            <w:tcW w:w="960" w:type="dxa"/>
            <w:tcBorders>
              <w:top w:val="nil"/>
              <w:left w:val="nil"/>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jc w:val="right"/>
              <w:rPr>
                <w:rFonts w:ascii="Calibri" w:eastAsia="Times New Roman" w:hAnsi="Calibri" w:cs="Calibri"/>
                <w:color w:val="000000"/>
                <w:lang w:eastAsia="en-GB"/>
              </w:rPr>
            </w:pPr>
            <w:r w:rsidRPr="000B4A03">
              <w:rPr>
                <w:rFonts w:ascii="Calibri" w:eastAsia="Times New Roman" w:hAnsi="Calibri" w:cs="Calibri"/>
                <w:color w:val="000000"/>
                <w:lang w:eastAsia="en-GB"/>
              </w:rPr>
              <w:t>109</w:t>
            </w:r>
          </w:p>
        </w:tc>
      </w:tr>
      <w:tr w:rsidR="000B4A03" w:rsidRPr="000B4A03" w:rsidTr="000B4A03">
        <w:trPr>
          <w:trHeight w:val="288"/>
        </w:trPr>
        <w:tc>
          <w:tcPr>
            <w:tcW w:w="1092" w:type="dxa"/>
            <w:tcBorders>
              <w:top w:val="nil"/>
              <w:left w:val="single" w:sz="4" w:space="0" w:color="auto"/>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rPr>
                <w:rFonts w:ascii="Calibri" w:eastAsia="Times New Roman" w:hAnsi="Calibri" w:cs="Calibri"/>
                <w:color w:val="000000"/>
                <w:lang w:eastAsia="en-GB"/>
              </w:rPr>
            </w:pPr>
            <w:r w:rsidRPr="000B4A03">
              <w:rPr>
                <w:rFonts w:ascii="Calibri" w:eastAsia="Times New Roman" w:hAnsi="Calibri" w:cs="Calibri"/>
                <w:color w:val="000000"/>
                <w:lang w:eastAsia="en-GB"/>
              </w:rPr>
              <w:t>CAV</w:t>
            </w:r>
          </w:p>
        </w:tc>
        <w:tc>
          <w:tcPr>
            <w:tcW w:w="1280" w:type="dxa"/>
            <w:tcBorders>
              <w:top w:val="nil"/>
              <w:left w:val="nil"/>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jc w:val="right"/>
              <w:rPr>
                <w:rFonts w:ascii="Calibri" w:eastAsia="Times New Roman" w:hAnsi="Calibri" w:cs="Calibri"/>
                <w:color w:val="000000"/>
                <w:lang w:eastAsia="en-GB"/>
              </w:rPr>
            </w:pPr>
            <w:r w:rsidRPr="000B4A03">
              <w:rPr>
                <w:rFonts w:ascii="Calibri" w:eastAsia="Times New Roman" w:hAnsi="Calibri" w:cs="Calibri"/>
                <w:color w:val="000000"/>
                <w:lang w:eastAsia="en-GB"/>
              </w:rPr>
              <w:t>55</w:t>
            </w:r>
          </w:p>
        </w:tc>
        <w:tc>
          <w:tcPr>
            <w:tcW w:w="1940" w:type="dxa"/>
            <w:tcBorders>
              <w:top w:val="nil"/>
              <w:left w:val="nil"/>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jc w:val="right"/>
              <w:rPr>
                <w:rFonts w:ascii="Calibri" w:eastAsia="Times New Roman" w:hAnsi="Calibri" w:cs="Calibri"/>
                <w:color w:val="000000"/>
                <w:lang w:eastAsia="en-GB"/>
              </w:rPr>
            </w:pPr>
            <w:r w:rsidRPr="000B4A03">
              <w:rPr>
                <w:rFonts w:ascii="Calibri" w:eastAsia="Times New Roman" w:hAnsi="Calibri" w:cs="Calibri"/>
                <w:color w:val="000000"/>
                <w:lang w:eastAsia="en-GB"/>
              </w:rPr>
              <w:t>10</w:t>
            </w:r>
          </w:p>
        </w:tc>
        <w:tc>
          <w:tcPr>
            <w:tcW w:w="960" w:type="dxa"/>
            <w:tcBorders>
              <w:top w:val="nil"/>
              <w:left w:val="nil"/>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jc w:val="right"/>
              <w:rPr>
                <w:rFonts w:ascii="Calibri" w:eastAsia="Times New Roman" w:hAnsi="Calibri" w:cs="Calibri"/>
                <w:color w:val="000000"/>
                <w:lang w:eastAsia="en-GB"/>
              </w:rPr>
            </w:pPr>
            <w:r w:rsidRPr="000B4A03">
              <w:rPr>
                <w:rFonts w:ascii="Calibri" w:eastAsia="Times New Roman" w:hAnsi="Calibri" w:cs="Calibri"/>
                <w:color w:val="000000"/>
                <w:lang w:eastAsia="en-GB"/>
              </w:rPr>
              <w:t>65</w:t>
            </w:r>
          </w:p>
        </w:tc>
      </w:tr>
      <w:tr w:rsidR="000B4A03" w:rsidRPr="000B4A03" w:rsidTr="000B4A03">
        <w:trPr>
          <w:trHeight w:val="288"/>
        </w:trPr>
        <w:tc>
          <w:tcPr>
            <w:tcW w:w="1092" w:type="dxa"/>
            <w:tcBorders>
              <w:top w:val="nil"/>
              <w:left w:val="single" w:sz="4" w:space="0" w:color="auto"/>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rPr>
                <w:rFonts w:ascii="Calibri" w:eastAsia="Times New Roman" w:hAnsi="Calibri" w:cs="Calibri"/>
                <w:color w:val="000000"/>
                <w:lang w:eastAsia="en-GB"/>
              </w:rPr>
            </w:pPr>
            <w:r w:rsidRPr="000B4A03">
              <w:rPr>
                <w:rFonts w:ascii="Calibri" w:eastAsia="Times New Roman" w:hAnsi="Calibri" w:cs="Calibri"/>
                <w:color w:val="000000"/>
                <w:lang w:eastAsia="en-GB"/>
              </w:rPr>
              <w:t>West Wales</w:t>
            </w:r>
          </w:p>
        </w:tc>
        <w:tc>
          <w:tcPr>
            <w:tcW w:w="1280" w:type="dxa"/>
            <w:tcBorders>
              <w:top w:val="nil"/>
              <w:left w:val="nil"/>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jc w:val="right"/>
              <w:rPr>
                <w:rFonts w:ascii="Calibri" w:eastAsia="Times New Roman" w:hAnsi="Calibri" w:cs="Calibri"/>
                <w:color w:val="000000"/>
                <w:lang w:eastAsia="en-GB"/>
              </w:rPr>
            </w:pPr>
            <w:r w:rsidRPr="000B4A03">
              <w:rPr>
                <w:rFonts w:ascii="Calibri" w:eastAsia="Times New Roman" w:hAnsi="Calibri" w:cs="Calibri"/>
                <w:color w:val="000000"/>
                <w:lang w:eastAsia="en-GB"/>
              </w:rPr>
              <w:t>29</w:t>
            </w:r>
          </w:p>
        </w:tc>
        <w:tc>
          <w:tcPr>
            <w:tcW w:w="1940" w:type="dxa"/>
            <w:tcBorders>
              <w:top w:val="nil"/>
              <w:left w:val="nil"/>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jc w:val="right"/>
              <w:rPr>
                <w:rFonts w:ascii="Calibri" w:eastAsia="Times New Roman" w:hAnsi="Calibri" w:cs="Calibri"/>
                <w:color w:val="000000"/>
                <w:lang w:eastAsia="en-GB"/>
              </w:rPr>
            </w:pPr>
            <w:r w:rsidRPr="000B4A03">
              <w:rPr>
                <w:rFonts w:ascii="Calibri" w:eastAsia="Times New Roman" w:hAnsi="Calibri" w:cs="Calibri"/>
                <w:color w:val="000000"/>
                <w:lang w:eastAsia="en-GB"/>
              </w:rPr>
              <w:t>42</w:t>
            </w:r>
          </w:p>
        </w:tc>
        <w:tc>
          <w:tcPr>
            <w:tcW w:w="960" w:type="dxa"/>
            <w:tcBorders>
              <w:top w:val="nil"/>
              <w:left w:val="nil"/>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jc w:val="right"/>
              <w:rPr>
                <w:rFonts w:ascii="Calibri" w:eastAsia="Times New Roman" w:hAnsi="Calibri" w:cs="Calibri"/>
                <w:color w:val="000000"/>
                <w:lang w:eastAsia="en-GB"/>
              </w:rPr>
            </w:pPr>
            <w:r w:rsidRPr="000B4A03">
              <w:rPr>
                <w:rFonts w:ascii="Calibri" w:eastAsia="Times New Roman" w:hAnsi="Calibri" w:cs="Calibri"/>
                <w:color w:val="000000"/>
                <w:lang w:eastAsia="en-GB"/>
              </w:rPr>
              <w:t>42</w:t>
            </w:r>
          </w:p>
        </w:tc>
      </w:tr>
      <w:tr w:rsidR="000B4A03" w:rsidRPr="000B4A03" w:rsidTr="000B4A03">
        <w:trPr>
          <w:trHeight w:val="288"/>
        </w:trPr>
        <w:tc>
          <w:tcPr>
            <w:tcW w:w="1092" w:type="dxa"/>
            <w:tcBorders>
              <w:top w:val="nil"/>
              <w:left w:val="single" w:sz="4" w:space="0" w:color="auto"/>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rPr>
                <w:rFonts w:ascii="Calibri" w:eastAsia="Times New Roman" w:hAnsi="Calibri" w:cs="Calibri"/>
                <w:color w:val="000000"/>
                <w:lang w:eastAsia="en-GB"/>
              </w:rPr>
            </w:pPr>
            <w:r w:rsidRPr="000B4A03">
              <w:rPr>
                <w:rFonts w:ascii="Calibri" w:eastAsia="Times New Roman" w:hAnsi="Calibri" w:cs="Calibri"/>
                <w:color w:val="000000"/>
                <w:lang w:eastAsia="en-GB"/>
              </w:rPr>
              <w:t xml:space="preserve">West Glam </w:t>
            </w:r>
          </w:p>
        </w:tc>
        <w:tc>
          <w:tcPr>
            <w:tcW w:w="1280" w:type="dxa"/>
            <w:tcBorders>
              <w:top w:val="nil"/>
              <w:left w:val="nil"/>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jc w:val="right"/>
              <w:rPr>
                <w:rFonts w:ascii="Calibri" w:eastAsia="Times New Roman" w:hAnsi="Calibri" w:cs="Calibri"/>
                <w:color w:val="000000"/>
                <w:lang w:eastAsia="en-GB"/>
              </w:rPr>
            </w:pPr>
            <w:r w:rsidRPr="000B4A03">
              <w:rPr>
                <w:rFonts w:ascii="Calibri" w:eastAsia="Times New Roman" w:hAnsi="Calibri" w:cs="Calibri"/>
                <w:color w:val="000000"/>
                <w:lang w:eastAsia="en-GB"/>
              </w:rPr>
              <w:t>30</w:t>
            </w:r>
          </w:p>
        </w:tc>
        <w:tc>
          <w:tcPr>
            <w:tcW w:w="1940" w:type="dxa"/>
            <w:tcBorders>
              <w:top w:val="nil"/>
              <w:left w:val="nil"/>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jc w:val="right"/>
              <w:rPr>
                <w:rFonts w:ascii="Calibri" w:eastAsia="Times New Roman" w:hAnsi="Calibri" w:cs="Calibri"/>
                <w:color w:val="000000"/>
                <w:lang w:eastAsia="en-GB"/>
              </w:rPr>
            </w:pPr>
            <w:r w:rsidRPr="000B4A03">
              <w:rPr>
                <w:rFonts w:ascii="Calibri" w:eastAsia="Times New Roman" w:hAnsi="Calibri" w:cs="Calibri"/>
                <w:color w:val="000000"/>
                <w:lang w:eastAsia="en-GB"/>
              </w:rPr>
              <w:t>80</w:t>
            </w:r>
          </w:p>
        </w:tc>
        <w:tc>
          <w:tcPr>
            <w:tcW w:w="960" w:type="dxa"/>
            <w:tcBorders>
              <w:top w:val="nil"/>
              <w:left w:val="nil"/>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jc w:val="right"/>
              <w:rPr>
                <w:rFonts w:ascii="Calibri" w:eastAsia="Times New Roman" w:hAnsi="Calibri" w:cs="Calibri"/>
                <w:color w:val="000000"/>
                <w:lang w:eastAsia="en-GB"/>
              </w:rPr>
            </w:pPr>
            <w:r w:rsidRPr="000B4A03">
              <w:rPr>
                <w:rFonts w:ascii="Calibri" w:eastAsia="Times New Roman" w:hAnsi="Calibri" w:cs="Calibri"/>
                <w:color w:val="000000"/>
                <w:lang w:eastAsia="en-GB"/>
              </w:rPr>
              <w:t>110</w:t>
            </w:r>
          </w:p>
        </w:tc>
      </w:tr>
      <w:tr w:rsidR="000B4A03" w:rsidRPr="000B4A03" w:rsidTr="000B4A03">
        <w:trPr>
          <w:trHeight w:val="288"/>
        </w:trPr>
        <w:tc>
          <w:tcPr>
            <w:tcW w:w="1092" w:type="dxa"/>
            <w:tcBorders>
              <w:top w:val="nil"/>
              <w:left w:val="single" w:sz="4" w:space="0" w:color="auto"/>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rPr>
                <w:rFonts w:ascii="Calibri" w:eastAsia="Times New Roman" w:hAnsi="Calibri" w:cs="Calibri"/>
                <w:color w:val="000000"/>
                <w:lang w:eastAsia="en-GB"/>
              </w:rPr>
            </w:pPr>
            <w:r w:rsidRPr="000B4A03">
              <w:rPr>
                <w:rFonts w:ascii="Calibri" w:eastAsia="Times New Roman" w:hAnsi="Calibri" w:cs="Calibri"/>
                <w:color w:val="000000"/>
                <w:lang w:eastAsia="en-GB"/>
              </w:rPr>
              <w:t>Powys</w:t>
            </w:r>
          </w:p>
        </w:tc>
        <w:tc>
          <w:tcPr>
            <w:tcW w:w="1280" w:type="dxa"/>
            <w:tcBorders>
              <w:top w:val="nil"/>
              <w:left w:val="nil"/>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jc w:val="right"/>
              <w:rPr>
                <w:rFonts w:ascii="Calibri" w:eastAsia="Times New Roman" w:hAnsi="Calibri" w:cs="Calibri"/>
                <w:color w:val="000000"/>
                <w:lang w:eastAsia="en-GB"/>
              </w:rPr>
            </w:pPr>
            <w:r w:rsidRPr="000B4A03">
              <w:rPr>
                <w:rFonts w:ascii="Calibri" w:eastAsia="Times New Roman" w:hAnsi="Calibri" w:cs="Calibri"/>
                <w:color w:val="000000"/>
                <w:lang w:eastAsia="en-GB"/>
              </w:rPr>
              <w:t>9</w:t>
            </w:r>
          </w:p>
        </w:tc>
        <w:tc>
          <w:tcPr>
            <w:tcW w:w="1940" w:type="dxa"/>
            <w:tcBorders>
              <w:top w:val="nil"/>
              <w:left w:val="nil"/>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jc w:val="right"/>
              <w:rPr>
                <w:rFonts w:ascii="Calibri" w:eastAsia="Times New Roman" w:hAnsi="Calibri" w:cs="Calibri"/>
                <w:color w:val="000000"/>
                <w:lang w:eastAsia="en-GB"/>
              </w:rPr>
            </w:pPr>
            <w:r w:rsidRPr="000B4A03">
              <w:rPr>
                <w:rFonts w:ascii="Calibri" w:eastAsia="Times New Roman" w:hAnsi="Calibri" w:cs="Calibri"/>
                <w:color w:val="000000"/>
                <w:lang w:eastAsia="en-GB"/>
              </w:rPr>
              <w:t>7</w:t>
            </w:r>
          </w:p>
        </w:tc>
        <w:tc>
          <w:tcPr>
            <w:tcW w:w="960" w:type="dxa"/>
            <w:tcBorders>
              <w:top w:val="nil"/>
              <w:left w:val="nil"/>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jc w:val="right"/>
              <w:rPr>
                <w:rFonts w:ascii="Calibri" w:eastAsia="Times New Roman" w:hAnsi="Calibri" w:cs="Calibri"/>
                <w:color w:val="000000"/>
                <w:lang w:eastAsia="en-GB"/>
              </w:rPr>
            </w:pPr>
            <w:r w:rsidRPr="000B4A03">
              <w:rPr>
                <w:rFonts w:ascii="Calibri" w:eastAsia="Times New Roman" w:hAnsi="Calibri" w:cs="Calibri"/>
                <w:color w:val="000000"/>
                <w:lang w:eastAsia="en-GB"/>
              </w:rPr>
              <w:t>16</w:t>
            </w:r>
          </w:p>
        </w:tc>
      </w:tr>
      <w:tr w:rsidR="000B4A03" w:rsidRPr="000B4A03" w:rsidTr="000B4A03">
        <w:trPr>
          <w:trHeight w:val="288"/>
        </w:trPr>
        <w:tc>
          <w:tcPr>
            <w:tcW w:w="1092" w:type="dxa"/>
            <w:tcBorders>
              <w:top w:val="nil"/>
              <w:left w:val="single" w:sz="4" w:space="0" w:color="auto"/>
              <w:bottom w:val="single" w:sz="4" w:space="0" w:color="auto"/>
              <w:right w:val="single" w:sz="4" w:space="0" w:color="auto"/>
            </w:tcBorders>
            <w:shd w:val="clear" w:color="000000" w:fill="808080"/>
            <w:noWrap/>
            <w:vAlign w:val="bottom"/>
            <w:hideMark/>
          </w:tcPr>
          <w:p w:rsidR="000B4A03" w:rsidRPr="000B4A03" w:rsidRDefault="000B4A03" w:rsidP="000B4A03">
            <w:pPr>
              <w:spacing w:after="0" w:line="240" w:lineRule="auto"/>
              <w:rPr>
                <w:rFonts w:ascii="Calibri" w:eastAsia="Times New Roman" w:hAnsi="Calibri" w:cs="Calibri"/>
                <w:color w:val="000000"/>
                <w:lang w:eastAsia="en-GB"/>
              </w:rPr>
            </w:pPr>
            <w:r w:rsidRPr="000B4A03">
              <w:rPr>
                <w:rFonts w:ascii="Calibri" w:eastAsia="Times New Roman" w:hAnsi="Calibri" w:cs="Calibri"/>
                <w:color w:val="000000"/>
                <w:lang w:eastAsia="en-GB"/>
              </w:rPr>
              <w:t> </w:t>
            </w:r>
          </w:p>
        </w:tc>
        <w:tc>
          <w:tcPr>
            <w:tcW w:w="1280" w:type="dxa"/>
            <w:tcBorders>
              <w:top w:val="nil"/>
              <w:left w:val="nil"/>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jc w:val="right"/>
              <w:rPr>
                <w:rFonts w:ascii="Calibri" w:eastAsia="Times New Roman" w:hAnsi="Calibri" w:cs="Calibri"/>
                <w:b/>
                <w:bCs/>
                <w:color w:val="000000"/>
                <w:lang w:eastAsia="en-GB"/>
              </w:rPr>
            </w:pPr>
            <w:r w:rsidRPr="000B4A03">
              <w:rPr>
                <w:rFonts w:ascii="Calibri" w:eastAsia="Times New Roman" w:hAnsi="Calibri" w:cs="Calibri"/>
                <w:b/>
                <w:bCs/>
                <w:color w:val="000000"/>
                <w:lang w:eastAsia="en-GB"/>
              </w:rPr>
              <w:t>180</w:t>
            </w:r>
          </w:p>
        </w:tc>
        <w:tc>
          <w:tcPr>
            <w:tcW w:w="1940" w:type="dxa"/>
            <w:tcBorders>
              <w:top w:val="nil"/>
              <w:left w:val="nil"/>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jc w:val="right"/>
              <w:rPr>
                <w:rFonts w:ascii="Calibri" w:eastAsia="Times New Roman" w:hAnsi="Calibri" w:cs="Calibri"/>
                <w:b/>
                <w:bCs/>
                <w:color w:val="000000"/>
                <w:lang w:eastAsia="en-GB"/>
              </w:rPr>
            </w:pPr>
            <w:r w:rsidRPr="000B4A03">
              <w:rPr>
                <w:rFonts w:ascii="Calibri" w:eastAsia="Times New Roman" w:hAnsi="Calibri" w:cs="Calibri"/>
                <w:b/>
                <w:bCs/>
                <w:color w:val="000000"/>
                <w:lang w:eastAsia="en-GB"/>
              </w:rPr>
              <w:t>345</w:t>
            </w:r>
          </w:p>
        </w:tc>
        <w:tc>
          <w:tcPr>
            <w:tcW w:w="960" w:type="dxa"/>
            <w:tcBorders>
              <w:top w:val="nil"/>
              <w:left w:val="nil"/>
              <w:bottom w:val="single" w:sz="4" w:space="0" w:color="auto"/>
              <w:right w:val="single" w:sz="4" w:space="0" w:color="auto"/>
            </w:tcBorders>
            <w:shd w:val="clear" w:color="auto" w:fill="auto"/>
            <w:noWrap/>
            <w:vAlign w:val="bottom"/>
            <w:hideMark/>
          </w:tcPr>
          <w:p w:rsidR="000B4A03" w:rsidRPr="000B4A03" w:rsidRDefault="000B4A03" w:rsidP="000B4A03">
            <w:pPr>
              <w:spacing w:after="0" w:line="240" w:lineRule="auto"/>
              <w:jc w:val="right"/>
              <w:rPr>
                <w:rFonts w:ascii="Calibri" w:eastAsia="Times New Roman" w:hAnsi="Calibri" w:cs="Calibri"/>
                <w:b/>
                <w:bCs/>
                <w:color w:val="000000"/>
                <w:lang w:eastAsia="en-GB"/>
              </w:rPr>
            </w:pPr>
            <w:r w:rsidRPr="000B4A03">
              <w:rPr>
                <w:rFonts w:ascii="Calibri" w:eastAsia="Times New Roman" w:hAnsi="Calibri" w:cs="Calibri"/>
                <w:b/>
                <w:bCs/>
                <w:color w:val="000000"/>
                <w:lang w:eastAsia="en-GB"/>
              </w:rPr>
              <w:t>496</w:t>
            </w:r>
          </w:p>
        </w:tc>
      </w:tr>
    </w:tbl>
    <w:p w:rsidR="00BE14CE" w:rsidRPr="00BE14CE" w:rsidRDefault="00BE14CE" w:rsidP="00D81B78">
      <w:pPr>
        <w:jc w:val="both"/>
      </w:pPr>
    </w:p>
    <w:p w:rsidR="00BE14CE" w:rsidRPr="00BE14CE" w:rsidRDefault="00BE14CE" w:rsidP="00D81B78">
      <w:pPr>
        <w:jc w:val="both"/>
        <w:rPr>
          <w:b/>
          <w:i/>
          <w:u w:val="single"/>
        </w:rPr>
      </w:pPr>
    </w:p>
    <w:p w:rsidR="00DD2760" w:rsidRDefault="00DD2760" w:rsidP="00D81B78">
      <w:pPr>
        <w:jc w:val="both"/>
        <w:rPr>
          <w:b/>
          <w:i/>
          <w:u w:val="single"/>
        </w:rPr>
      </w:pPr>
      <w:r w:rsidRPr="00DD2760">
        <w:rPr>
          <w:b/>
          <w:i/>
          <w:u w:val="single"/>
        </w:rPr>
        <w:t>Workforce</w:t>
      </w:r>
    </w:p>
    <w:p w:rsidR="00DD2760" w:rsidRDefault="00DD2760" w:rsidP="00D81B78">
      <w:pPr>
        <w:jc w:val="both"/>
      </w:pPr>
      <w:r>
        <w:t xml:space="preserve">The </w:t>
      </w:r>
      <w:r w:rsidR="00537C40">
        <w:t xml:space="preserve">Integrated </w:t>
      </w:r>
      <w:r>
        <w:t xml:space="preserve">Workforce </w:t>
      </w:r>
      <w:r w:rsidR="00537C40">
        <w:t>G</w:t>
      </w:r>
      <w:r>
        <w:t xml:space="preserve">roup, which operated in parallel to the Bi-weekly meetings, arranged meetings with regional workforce leaders. The key messages and challenges were: </w:t>
      </w:r>
    </w:p>
    <w:p w:rsidR="00707192" w:rsidRPr="00DD2760" w:rsidRDefault="002E268C" w:rsidP="00DD2760">
      <w:pPr>
        <w:pStyle w:val="ListParagraph"/>
        <w:numPr>
          <w:ilvl w:val="0"/>
          <w:numId w:val="11"/>
        </w:numPr>
        <w:jc w:val="both"/>
      </w:pPr>
      <w:r w:rsidRPr="00DD2760">
        <w:t>Recruiting additional workforce</w:t>
      </w:r>
    </w:p>
    <w:p w:rsidR="00707192" w:rsidRPr="00DD2760" w:rsidRDefault="002E268C" w:rsidP="00DD2760">
      <w:pPr>
        <w:pStyle w:val="ListParagraph"/>
        <w:numPr>
          <w:ilvl w:val="0"/>
          <w:numId w:val="11"/>
        </w:numPr>
        <w:jc w:val="both"/>
      </w:pPr>
      <w:r w:rsidRPr="00DD2760">
        <w:t>Retaining current workforce</w:t>
      </w:r>
    </w:p>
    <w:p w:rsidR="00707192" w:rsidRPr="00DD2760" w:rsidRDefault="002E268C" w:rsidP="00DD2760">
      <w:pPr>
        <w:pStyle w:val="ListParagraph"/>
        <w:numPr>
          <w:ilvl w:val="0"/>
          <w:numId w:val="11"/>
        </w:numPr>
        <w:jc w:val="both"/>
      </w:pPr>
      <w:r w:rsidRPr="00DD2760">
        <w:t>Pay, Terms and Conditions and lack of parity - seen as primary barriers</w:t>
      </w:r>
    </w:p>
    <w:p w:rsidR="00707192" w:rsidRPr="00DD2760" w:rsidRDefault="002E268C" w:rsidP="00DD2760">
      <w:pPr>
        <w:pStyle w:val="ListParagraph"/>
        <w:numPr>
          <w:ilvl w:val="0"/>
          <w:numId w:val="11"/>
        </w:numPr>
        <w:jc w:val="both"/>
      </w:pPr>
      <w:r w:rsidRPr="00DD2760">
        <w:t>Recruitment difficulties - operating in a competitive market (within and outside of health and care) and especially across the foundation economy</w:t>
      </w:r>
    </w:p>
    <w:p w:rsidR="00707192" w:rsidRPr="00DD2760" w:rsidRDefault="002E268C" w:rsidP="00DD2760">
      <w:pPr>
        <w:pStyle w:val="ListParagraph"/>
        <w:numPr>
          <w:ilvl w:val="0"/>
          <w:numId w:val="11"/>
        </w:numPr>
        <w:jc w:val="both"/>
      </w:pPr>
      <w:r w:rsidRPr="00DD2760">
        <w:t>Registration and re-registr</w:t>
      </w:r>
      <w:r w:rsidR="001A573F">
        <w:t xml:space="preserve">ation of social care workers was </w:t>
      </w:r>
      <w:r w:rsidRPr="00DD2760">
        <w:t>perceived to be a barrier to both recruitment and retention, and not consistent with HCSW requirements</w:t>
      </w:r>
    </w:p>
    <w:p w:rsidR="00707192" w:rsidRPr="00DD2760" w:rsidRDefault="002E268C" w:rsidP="00DD2760">
      <w:pPr>
        <w:pStyle w:val="ListParagraph"/>
        <w:numPr>
          <w:ilvl w:val="0"/>
          <w:numId w:val="11"/>
        </w:numPr>
        <w:jc w:val="both"/>
      </w:pPr>
      <w:r w:rsidRPr="00DD2760">
        <w:t>Support for a once for Wales Trusted Assessor model</w:t>
      </w:r>
    </w:p>
    <w:p w:rsidR="00707192" w:rsidRPr="00DD2760" w:rsidRDefault="002E268C" w:rsidP="00DD2760">
      <w:pPr>
        <w:pStyle w:val="ListParagraph"/>
        <w:numPr>
          <w:ilvl w:val="0"/>
          <w:numId w:val="11"/>
        </w:numPr>
        <w:jc w:val="both"/>
      </w:pPr>
      <w:r w:rsidRPr="00DD2760">
        <w:t>Review medicines administration policies</w:t>
      </w:r>
    </w:p>
    <w:p w:rsidR="00707192" w:rsidRPr="00DD2760" w:rsidRDefault="002E268C" w:rsidP="00DD2760">
      <w:pPr>
        <w:pStyle w:val="ListParagraph"/>
        <w:numPr>
          <w:ilvl w:val="0"/>
          <w:numId w:val="11"/>
        </w:numPr>
        <w:jc w:val="both"/>
      </w:pPr>
      <w:r w:rsidRPr="00DD2760">
        <w:t>Access to resources and good practice models</w:t>
      </w:r>
    </w:p>
    <w:p w:rsidR="00707192" w:rsidRPr="00DD2760" w:rsidRDefault="002E268C" w:rsidP="00DD2760">
      <w:pPr>
        <w:pStyle w:val="ListParagraph"/>
        <w:numPr>
          <w:ilvl w:val="0"/>
          <w:numId w:val="11"/>
        </w:numPr>
        <w:jc w:val="both"/>
      </w:pPr>
      <w:r w:rsidRPr="00DD2760">
        <w:t>National solutions may not work for all (e.g. Powys and issues of rurality)</w:t>
      </w:r>
    </w:p>
    <w:p w:rsidR="00707192" w:rsidRPr="00DD2760" w:rsidRDefault="001A573F" w:rsidP="00DD2760">
      <w:pPr>
        <w:pStyle w:val="ListParagraph"/>
        <w:numPr>
          <w:ilvl w:val="0"/>
          <w:numId w:val="11"/>
        </w:numPr>
        <w:jc w:val="both"/>
      </w:pPr>
      <w:r>
        <w:t>Well</w:t>
      </w:r>
      <w:r w:rsidR="002E268C" w:rsidRPr="00DD2760">
        <w:t xml:space="preserve">being of existing workforce remains a high priority </w:t>
      </w:r>
    </w:p>
    <w:p w:rsidR="00DD2760" w:rsidRDefault="00DD2760" w:rsidP="00D81B78">
      <w:pPr>
        <w:jc w:val="both"/>
      </w:pPr>
      <w:r>
        <w:t xml:space="preserve">Another </w:t>
      </w:r>
      <w:r w:rsidR="00832F28">
        <w:t xml:space="preserve">outcome of the workforce meetings, was an improvement in the awareness of the availability of training and recruitment drives already provided for, these include: </w:t>
      </w:r>
    </w:p>
    <w:p w:rsidR="00707192" w:rsidRPr="00832F28" w:rsidRDefault="009B53C8" w:rsidP="00832F28">
      <w:pPr>
        <w:pStyle w:val="ListParagraph"/>
        <w:numPr>
          <w:ilvl w:val="0"/>
          <w:numId w:val="13"/>
        </w:numPr>
        <w:jc w:val="both"/>
      </w:pPr>
      <w:hyperlink r:id="rId13" w:history="1">
        <w:r w:rsidR="002E268C" w:rsidRPr="00832F28">
          <w:rPr>
            <w:rStyle w:val="Hyperlink"/>
          </w:rPr>
          <w:t>We Care Wales</w:t>
        </w:r>
      </w:hyperlink>
      <w:r w:rsidR="002E268C" w:rsidRPr="00832F28">
        <w:t>– national job portal to advertise jobs; additional recruitment campaigns including TV advert for domiciliary care underway and social work to follow later this year</w:t>
      </w:r>
    </w:p>
    <w:p w:rsidR="00707192" w:rsidRPr="00832F28" w:rsidRDefault="009B53C8" w:rsidP="00832F28">
      <w:pPr>
        <w:pStyle w:val="ListParagraph"/>
        <w:numPr>
          <w:ilvl w:val="0"/>
          <w:numId w:val="13"/>
        </w:numPr>
        <w:jc w:val="both"/>
      </w:pPr>
      <w:hyperlink r:id="rId14" w:history="1">
        <w:r w:rsidR="002E268C" w:rsidRPr="00832F28">
          <w:rPr>
            <w:rStyle w:val="Hyperlink"/>
          </w:rPr>
          <w:t>Careersville</w:t>
        </w:r>
      </w:hyperlink>
      <w:r w:rsidR="002E268C" w:rsidRPr="00832F28">
        <w:t>  promoting the wide range of occupations across social care and health</w:t>
      </w:r>
    </w:p>
    <w:p w:rsidR="00707192" w:rsidRPr="00832F28" w:rsidRDefault="002E268C" w:rsidP="00832F28">
      <w:pPr>
        <w:pStyle w:val="ListParagraph"/>
        <w:numPr>
          <w:ilvl w:val="0"/>
          <w:numId w:val="13"/>
        </w:numPr>
        <w:jc w:val="both"/>
      </w:pPr>
      <w:r w:rsidRPr="00832F28">
        <w:t>Regional Connectors –in each region to support and facilitate attraction into social care jobs </w:t>
      </w:r>
    </w:p>
    <w:p w:rsidR="00707192" w:rsidRPr="00832F28" w:rsidRDefault="009B53C8" w:rsidP="00832F28">
      <w:pPr>
        <w:pStyle w:val="ListParagraph"/>
        <w:numPr>
          <w:ilvl w:val="0"/>
          <w:numId w:val="13"/>
        </w:numPr>
        <w:jc w:val="both"/>
      </w:pPr>
      <w:hyperlink r:id="rId15" w:history="1">
        <w:r w:rsidR="002E268C" w:rsidRPr="00832F28">
          <w:rPr>
            <w:rStyle w:val="Hyperlink"/>
          </w:rPr>
          <w:t>Introduction to social care</w:t>
        </w:r>
      </w:hyperlink>
      <w:r w:rsidR="002E268C" w:rsidRPr="00832F28">
        <w:t xml:space="preserve"> – free 3-day course supporting individuals considering a career in the sector with targeted pilots for young people; refugees etc in development. Resources to support temporary redeployment of staff to support social care available from </w:t>
      </w:r>
      <w:hyperlink r:id="rId16" w:history="1">
        <w:r w:rsidR="002E268C" w:rsidRPr="00832F28">
          <w:rPr>
            <w:rStyle w:val="Hyperlink"/>
          </w:rPr>
          <w:t>info@socialcare.wales</w:t>
        </w:r>
      </w:hyperlink>
    </w:p>
    <w:p w:rsidR="00707192" w:rsidRPr="00832F28" w:rsidRDefault="002E268C" w:rsidP="00832F28">
      <w:pPr>
        <w:pStyle w:val="ListParagraph"/>
        <w:numPr>
          <w:ilvl w:val="0"/>
          <w:numId w:val="13"/>
        </w:numPr>
        <w:jc w:val="both"/>
      </w:pPr>
      <w:r w:rsidRPr="00832F28">
        <w:t xml:space="preserve">Guidance </w:t>
      </w:r>
      <w:hyperlink r:id="rId17" w:history="1">
        <w:r w:rsidRPr="00832F28">
          <w:rPr>
            <w:rStyle w:val="Hyperlink"/>
          </w:rPr>
          <w:t>Employing people from Ukraine and refugees in social care: resource for providers | GOV.WALES</w:t>
        </w:r>
      </w:hyperlink>
    </w:p>
    <w:p w:rsidR="00707192" w:rsidRPr="00832F28" w:rsidRDefault="009B53C8" w:rsidP="00832F28">
      <w:pPr>
        <w:pStyle w:val="ListParagraph"/>
        <w:numPr>
          <w:ilvl w:val="0"/>
          <w:numId w:val="13"/>
        </w:numPr>
        <w:jc w:val="both"/>
      </w:pPr>
      <w:hyperlink r:id="rId18" w:history="1">
        <w:r w:rsidR="002E268C" w:rsidRPr="00B06589">
          <w:rPr>
            <w:rStyle w:val="Hyperlink"/>
            <w:bCs/>
          </w:rPr>
          <w:t>Working in social care in Wales: guidance for foreign nationals</w:t>
        </w:r>
      </w:hyperlink>
      <w:r w:rsidR="002E268C" w:rsidRPr="00832F28">
        <w:rPr>
          <w:b/>
          <w:bCs/>
        </w:rPr>
        <w:t xml:space="preserve"> – </w:t>
      </w:r>
      <w:r w:rsidR="002E268C" w:rsidRPr="00832F28">
        <w:t>Explains how to apply to work in social care in Wales if you aren’t a UK citizen. </w:t>
      </w:r>
    </w:p>
    <w:p w:rsidR="00707192" w:rsidRPr="00832F28" w:rsidRDefault="009B53C8" w:rsidP="00832F28">
      <w:pPr>
        <w:pStyle w:val="ListParagraph"/>
        <w:numPr>
          <w:ilvl w:val="0"/>
          <w:numId w:val="13"/>
        </w:numPr>
        <w:jc w:val="both"/>
      </w:pPr>
      <w:hyperlink r:id="rId19" w:history="1">
        <w:r w:rsidR="002E268C" w:rsidRPr="00832F28">
          <w:rPr>
            <w:rStyle w:val="Hyperlink"/>
          </w:rPr>
          <w:t>Train work live</w:t>
        </w:r>
      </w:hyperlink>
      <w:r w:rsidR="002E268C" w:rsidRPr="00832F28">
        <w:t xml:space="preserve"> supporting health professional recruitment </w:t>
      </w:r>
    </w:p>
    <w:p w:rsidR="00707192" w:rsidRPr="00832F28" w:rsidRDefault="002E268C" w:rsidP="00832F28">
      <w:pPr>
        <w:pStyle w:val="ListParagraph"/>
        <w:numPr>
          <w:ilvl w:val="0"/>
          <w:numId w:val="13"/>
        </w:numPr>
        <w:jc w:val="both"/>
      </w:pPr>
      <w:r w:rsidRPr="00832F28">
        <w:t>Values based recruitment training for employers in social care </w:t>
      </w:r>
    </w:p>
    <w:p w:rsidR="00707192" w:rsidRPr="00832F28" w:rsidRDefault="002E268C" w:rsidP="00832F28">
      <w:pPr>
        <w:pStyle w:val="ListParagraph"/>
        <w:numPr>
          <w:ilvl w:val="0"/>
          <w:numId w:val="13"/>
        </w:numPr>
        <w:jc w:val="both"/>
      </w:pPr>
      <w:r w:rsidRPr="00832F28">
        <w:t xml:space="preserve">Revised </w:t>
      </w:r>
      <w:hyperlink r:id="rId20" w:history="1">
        <w:r w:rsidRPr="00832F28">
          <w:rPr>
            <w:rStyle w:val="Hyperlink"/>
          </w:rPr>
          <w:t>registration rules</w:t>
        </w:r>
      </w:hyperlink>
      <w:r w:rsidRPr="00832F28">
        <w:t xml:space="preserve"> for Social Care Worker professional registration</w:t>
      </w:r>
    </w:p>
    <w:p w:rsidR="00707192" w:rsidRPr="00832F28" w:rsidRDefault="002E268C" w:rsidP="00832F28">
      <w:pPr>
        <w:pStyle w:val="ListParagraph"/>
        <w:numPr>
          <w:ilvl w:val="0"/>
          <w:numId w:val="13"/>
        </w:numPr>
        <w:jc w:val="both"/>
      </w:pPr>
      <w:r w:rsidRPr="00832F28">
        <w:t>International recruitment and employer support for nurses into health boards, and potential expansion for social care role subject to demand  </w:t>
      </w:r>
    </w:p>
    <w:p w:rsidR="00707192" w:rsidRPr="00832F28" w:rsidRDefault="009B53C8" w:rsidP="00832F28">
      <w:pPr>
        <w:pStyle w:val="ListParagraph"/>
        <w:numPr>
          <w:ilvl w:val="0"/>
          <w:numId w:val="13"/>
        </w:numPr>
        <w:jc w:val="both"/>
      </w:pPr>
      <w:hyperlink r:id="rId21" w:history="1">
        <w:r w:rsidR="002E268C" w:rsidRPr="00832F28">
          <w:rPr>
            <w:rStyle w:val="Hyperlink"/>
          </w:rPr>
          <w:t>Fair Work Forum for Social Care</w:t>
        </w:r>
      </w:hyperlink>
      <w:r w:rsidR="002E268C" w:rsidRPr="00832F28">
        <w:t xml:space="preserve"> focussing on pay, terms and conditions</w:t>
      </w:r>
    </w:p>
    <w:p w:rsidR="00707192" w:rsidRPr="00832F28" w:rsidRDefault="002E268C" w:rsidP="00832F28">
      <w:pPr>
        <w:pStyle w:val="ListParagraph"/>
        <w:numPr>
          <w:ilvl w:val="0"/>
          <w:numId w:val="13"/>
        </w:numPr>
        <w:jc w:val="both"/>
      </w:pPr>
      <w:r w:rsidRPr="00832F28">
        <w:t>Continued focus on the impact of cost of living particularly around travel costs where additional funding was provided to local authorities to support domiciliary care</w:t>
      </w:r>
    </w:p>
    <w:p w:rsidR="00707192" w:rsidRPr="00832F28" w:rsidRDefault="009B53C8" w:rsidP="00832F28">
      <w:pPr>
        <w:pStyle w:val="ListParagraph"/>
        <w:numPr>
          <w:ilvl w:val="0"/>
          <w:numId w:val="13"/>
        </w:numPr>
        <w:jc w:val="both"/>
      </w:pPr>
      <w:hyperlink r:id="rId22" w:history="1">
        <w:r w:rsidR="002E268C" w:rsidRPr="00832F28">
          <w:rPr>
            <w:rStyle w:val="Hyperlink"/>
          </w:rPr>
          <w:t>National Wellbeing</w:t>
        </w:r>
      </w:hyperlink>
      <w:r w:rsidR="002E268C" w:rsidRPr="00832F28">
        <w:t xml:space="preserve"> offers to support retention and support of the current workforce </w:t>
      </w:r>
      <w:hyperlink r:id="rId23" w:history="1">
        <w:r w:rsidR="002E268C" w:rsidRPr="00832F28">
          <w:rPr>
            <w:rStyle w:val="Hyperlink"/>
          </w:rPr>
          <w:t>Wellbeing Tools for Care Workers in Coronavirus | Social Care Wales</w:t>
        </w:r>
      </w:hyperlink>
    </w:p>
    <w:p w:rsidR="00707192" w:rsidRPr="00832F28" w:rsidRDefault="002E268C" w:rsidP="00832F28">
      <w:pPr>
        <w:pStyle w:val="ListParagraph"/>
        <w:numPr>
          <w:ilvl w:val="0"/>
          <w:numId w:val="13"/>
        </w:numPr>
        <w:jc w:val="both"/>
      </w:pPr>
      <w:r w:rsidRPr="00832F28">
        <w:t>Vocational learning available at L2,3,4 &amp; 5 including formal qualifications and apprenticeships </w:t>
      </w:r>
    </w:p>
    <w:p w:rsidR="00707192" w:rsidRPr="00832F28" w:rsidRDefault="002E268C" w:rsidP="00832F28">
      <w:pPr>
        <w:pStyle w:val="ListParagraph"/>
        <w:numPr>
          <w:ilvl w:val="0"/>
          <w:numId w:val="13"/>
        </w:numPr>
        <w:jc w:val="both"/>
      </w:pPr>
      <w:r w:rsidRPr="00832F28">
        <w:t>Care Home Education Facilitators</w:t>
      </w:r>
    </w:p>
    <w:p w:rsidR="00707192" w:rsidRPr="00832F28" w:rsidRDefault="009B53C8" w:rsidP="00832F28">
      <w:pPr>
        <w:pStyle w:val="ListParagraph"/>
        <w:numPr>
          <w:ilvl w:val="0"/>
          <w:numId w:val="13"/>
        </w:numPr>
        <w:jc w:val="both"/>
      </w:pPr>
      <w:hyperlink r:id="rId24" w:history="1">
        <w:r w:rsidR="002E268C" w:rsidRPr="00832F28">
          <w:rPr>
            <w:rStyle w:val="Hyperlink"/>
          </w:rPr>
          <w:t>Care Aims</w:t>
        </w:r>
      </w:hyperlink>
      <w:r w:rsidR="002E268C" w:rsidRPr="00832F28">
        <w:t xml:space="preserve"> (health) and </w:t>
      </w:r>
      <w:hyperlink r:id="rId25" w:history="1">
        <w:r w:rsidR="002E268C" w:rsidRPr="00832F28">
          <w:rPr>
            <w:rStyle w:val="Hyperlink"/>
          </w:rPr>
          <w:t>Outcomes training and developing the skills of our workforce in social care | Social Care Wales</w:t>
        </w:r>
      </w:hyperlink>
      <w:r w:rsidR="002E268C" w:rsidRPr="00832F28">
        <w:t xml:space="preserve"> programmes</w:t>
      </w:r>
    </w:p>
    <w:p w:rsidR="00707192" w:rsidRPr="00832F28" w:rsidRDefault="009B53C8" w:rsidP="00832F28">
      <w:pPr>
        <w:pStyle w:val="ListParagraph"/>
        <w:numPr>
          <w:ilvl w:val="0"/>
          <w:numId w:val="13"/>
        </w:numPr>
        <w:jc w:val="both"/>
      </w:pPr>
      <w:hyperlink r:id="rId26" w:history="1">
        <w:r w:rsidR="002E268C" w:rsidRPr="00832F28">
          <w:rPr>
            <w:rStyle w:val="Hyperlink"/>
          </w:rPr>
          <w:t>All Wales Guidelines for delegation</w:t>
        </w:r>
      </w:hyperlink>
      <w:r w:rsidR="002E268C" w:rsidRPr="00832F28">
        <w:t xml:space="preserve"> - these national guidelines have been developed to assist in the management and practice of all acts of appropriate delegation.</w:t>
      </w:r>
    </w:p>
    <w:p w:rsidR="00707192" w:rsidRPr="00832F28" w:rsidRDefault="002E268C" w:rsidP="00832F28">
      <w:pPr>
        <w:pStyle w:val="ListParagraph"/>
        <w:numPr>
          <w:ilvl w:val="0"/>
          <w:numId w:val="13"/>
        </w:numPr>
        <w:jc w:val="both"/>
      </w:pPr>
      <w:r w:rsidRPr="00832F28">
        <w:t xml:space="preserve">Verification of Death training is available via learning@wales available to health and social care staff. </w:t>
      </w:r>
      <w:hyperlink r:id="rId27" w:history="1">
        <w:r w:rsidRPr="00832F28">
          <w:rPr>
            <w:rStyle w:val="Hyperlink"/>
          </w:rPr>
          <w:t>https://learning.nhs.wales/course/view.php?id=</w:t>
        </w:r>
      </w:hyperlink>
      <w:hyperlink r:id="rId28" w:history="1">
        <w:r w:rsidRPr="00832F28">
          <w:rPr>
            <w:rStyle w:val="Hyperlink"/>
          </w:rPr>
          <w:t>48</w:t>
        </w:r>
      </w:hyperlink>
    </w:p>
    <w:p w:rsidR="00707192" w:rsidRPr="00832F28" w:rsidRDefault="002E268C" w:rsidP="00832F28">
      <w:pPr>
        <w:pStyle w:val="ListParagraph"/>
        <w:numPr>
          <w:ilvl w:val="0"/>
          <w:numId w:val="13"/>
        </w:numPr>
        <w:jc w:val="both"/>
      </w:pPr>
      <w:r w:rsidRPr="00832F28">
        <w:t xml:space="preserve">Rehabilitation Awareness Training – Y ty dysgu HEIW  - Online resource for rehab training with links to further modules and qualifications available.  Also </w:t>
      </w:r>
      <w:hyperlink r:id="rId29" w:history="1">
        <w:r w:rsidRPr="00832F28">
          <w:rPr>
            <w:rStyle w:val="Hyperlink"/>
          </w:rPr>
          <w:t>Agored</w:t>
        </w:r>
      </w:hyperlink>
      <w:hyperlink r:id="rId30" w:history="1">
        <w:r w:rsidRPr="00832F28">
          <w:rPr>
            <w:rStyle w:val="Hyperlink"/>
          </w:rPr>
          <w:t xml:space="preserve"> Cymru Level 3 Diploma in Rehabilitation Support (Wales)</w:t>
        </w:r>
      </w:hyperlink>
      <w:r w:rsidRPr="00832F28">
        <w:t xml:space="preserve"> C00/4517/1 (created specifically for role) and </w:t>
      </w:r>
      <w:hyperlink r:id="rId31" w:history="1">
        <w:r w:rsidRPr="00832F28">
          <w:rPr>
            <w:rStyle w:val="Hyperlink"/>
          </w:rPr>
          <w:t>Agored</w:t>
        </w:r>
      </w:hyperlink>
      <w:hyperlink r:id="rId32" w:history="1">
        <w:r w:rsidRPr="00832F28">
          <w:rPr>
            <w:rStyle w:val="Hyperlink"/>
          </w:rPr>
          <w:t xml:space="preserve"> Cymru Level 4 Diploma for Therapy Assistant Practitioners</w:t>
        </w:r>
      </w:hyperlink>
      <w:r w:rsidRPr="00832F28">
        <w:t xml:space="preserve"> C00/3964/6</w:t>
      </w:r>
    </w:p>
    <w:p w:rsidR="00707192" w:rsidRPr="00832F28" w:rsidRDefault="002E268C" w:rsidP="00832F28">
      <w:pPr>
        <w:pStyle w:val="ListParagraph"/>
        <w:numPr>
          <w:ilvl w:val="0"/>
          <w:numId w:val="13"/>
        </w:numPr>
        <w:jc w:val="both"/>
      </w:pPr>
      <w:r w:rsidRPr="00832F28">
        <w:t>Joint induction programme for HCSW and Social Care Support Workers</w:t>
      </w:r>
    </w:p>
    <w:p w:rsidR="00832F28" w:rsidRPr="00DD2760" w:rsidRDefault="00832F28" w:rsidP="00D81B78">
      <w:pPr>
        <w:jc w:val="both"/>
      </w:pPr>
    </w:p>
    <w:p w:rsidR="001E741B" w:rsidRPr="00B17187" w:rsidRDefault="00581844" w:rsidP="00D81B78">
      <w:pPr>
        <w:jc w:val="both"/>
        <w:rPr>
          <w:b/>
          <w:i/>
          <w:u w:val="single"/>
        </w:rPr>
      </w:pPr>
      <w:r w:rsidRPr="00B17187">
        <w:rPr>
          <w:b/>
          <w:i/>
          <w:u w:val="single"/>
        </w:rPr>
        <w:t>Impact</w:t>
      </w:r>
    </w:p>
    <w:p w:rsidR="0047061C" w:rsidRPr="001E741B" w:rsidRDefault="001E741B" w:rsidP="00D81B78">
      <w:pPr>
        <w:jc w:val="both"/>
        <w:rPr>
          <w:i/>
        </w:rPr>
      </w:pPr>
      <w:r>
        <w:t>When assessing</w:t>
      </w:r>
      <w:r w:rsidR="001E09F4">
        <w:t xml:space="preserve"> the impact on the system, it was</w:t>
      </w:r>
      <w:r>
        <w:t xml:space="preserve"> difficult to attribute one programme to delivering an improvement across Health and Social</w:t>
      </w:r>
      <w:r w:rsidR="006F48C5">
        <w:t xml:space="preserve"> Care</w:t>
      </w:r>
      <w:r>
        <w:t xml:space="preserve">. However, </w:t>
      </w:r>
      <w:r w:rsidR="006F48C5">
        <w:t xml:space="preserve">Figure 5 </w:t>
      </w:r>
      <w:r w:rsidR="001E09F4">
        <w:t>demonstrate the improvement in delayed discharges during this</w:t>
      </w:r>
      <w:r>
        <w:t xml:space="preserve"> this work. </w:t>
      </w:r>
      <w:r w:rsidR="00CA30EC">
        <w:t xml:space="preserve">It should be </w:t>
      </w:r>
      <w:r w:rsidR="006F48C5">
        <w:t xml:space="preserve">noted </w:t>
      </w:r>
      <w:r w:rsidR="00CA30EC">
        <w:t>th</w:t>
      </w:r>
      <w:r w:rsidR="001E09F4">
        <w:t>at it is not possible to predict</w:t>
      </w:r>
      <w:r w:rsidR="00CA30EC">
        <w:t xml:space="preserve"> the data </w:t>
      </w:r>
      <w:r w:rsidR="001E09F4">
        <w:t>trends should the</w:t>
      </w:r>
      <w:r w:rsidR="00CA30EC">
        <w:t xml:space="preserve"> 1000 bed or equivalent services programme had not been commissioned. </w:t>
      </w:r>
    </w:p>
    <w:p w:rsidR="002014F9" w:rsidRPr="00832F28" w:rsidRDefault="002014F9" w:rsidP="00431969">
      <w:pPr>
        <w:pStyle w:val="ListParagraph"/>
        <w:numPr>
          <w:ilvl w:val="0"/>
          <w:numId w:val="8"/>
        </w:numPr>
        <w:jc w:val="both"/>
      </w:pPr>
      <w:r w:rsidRPr="00832F28">
        <w:t>Delayed Discharges</w:t>
      </w:r>
    </w:p>
    <w:p w:rsidR="00CA30EC" w:rsidRPr="00832F28" w:rsidRDefault="00431969" w:rsidP="002014F9">
      <w:pPr>
        <w:jc w:val="both"/>
      </w:pPr>
      <w:r w:rsidRPr="00832F28">
        <w:t>The original regional d</w:t>
      </w:r>
      <w:r w:rsidR="001E09F4">
        <w:t>istribution of expected beds was</w:t>
      </w:r>
      <w:r w:rsidRPr="00832F28">
        <w:t xml:space="preserve"> based on the delayed </w:t>
      </w:r>
      <w:r w:rsidR="001E09F4">
        <w:t xml:space="preserve">discharges in </w:t>
      </w:r>
      <w:r w:rsidR="001A573F">
        <w:t>May;</w:t>
      </w:r>
      <w:r w:rsidR="001E09F4">
        <w:t xml:space="preserve"> the measure </w:t>
      </w:r>
      <w:r w:rsidRPr="00832F28">
        <w:t xml:space="preserve">has acted as the consistent measure during the programme. There was a peak of delayed discharges in late </w:t>
      </w:r>
      <w:r w:rsidR="00832F28" w:rsidRPr="00832F28">
        <w:t>November that</w:t>
      </w:r>
      <w:r w:rsidR="006F48C5" w:rsidRPr="00832F28">
        <w:t xml:space="preserve"> </w:t>
      </w:r>
      <w:r w:rsidRPr="00832F28">
        <w:t xml:space="preserve">has gradually reduced to date. </w:t>
      </w:r>
    </w:p>
    <w:p w:rsidR="00431969" w:rsidRPr="00832F28" w:rsidRDefault="00431969" w:rsidP="002014F9">
      <w:pPr>
        <w:jc w:val="both"/>
      </w:pPr>
      <w:r w:rsidRPr="00832F28">
        <w:t xml:space="preserve">Figure 5- Delayed Discharges May 2022-February 2023. </w:t>
      </w:r>
    </w:p>
    <w:p w:rsidR="0076232E" w:rsidRDefault="0076232E" w:rsidP="002014F9">
      <w:pPr>
        <w:jc w:val="both"/>
      </w:pPr>
      <w:r w:rsidRPr="008A1C2E">
        <w:rPr>
          <w:noProof/>
          <w:highlight w:val="yellow"/>
          <w:lang w:eastAsia="en-GB"/>
        </w:rPr>
        <w:drawing>
          <wp:inline distT="0" distB="0" distL="0" distR="0" wp14:anchorId="0363BD28" wp14:editId="245C5F34">
            <wp:extent cx="4160520" cy="2468880"/>
            <wp:effectExtent l="0" t="0" r="11430" b="762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431969" w:rsidRDefault="00431969" w:rsidP="00392021">
      <w:pPr>
        <w:jc w:val="both"/>
      </w:pPr>
    </w:p>
    <w:p w:rsidR="00ED7E49" w:rsidRDefault="00431969" w:rsidP="00431969">
      <w:pPr>
        <w:pStyle w:val="ListParagraph"/>
        <w:numPr>
          <w:ilvl w:val="0"/>
          <w:numId w:val="8"/>
        </w:numPr>
        <w:jc w:val="both"/>
      </w:pPr>
      <w:r>
        <w:t>21 Day LOS</w:t>
      </w:r>
    </w:p>
    <w:p w:rsidR="00431969" w:rsidRDefault="00431969" w:rsidP="00431969">
      <w:pPr>
        <w:jc w:val="both"/>
      </w:pPr>
      <w:r w:rsidRPr="00832F28">
        <w:t>At the start of the programme, there was limited consistency in the reporting of length of stay</w:t>
      </w:r>
      <w:r w:rsidR="00636E0D" w:rsidRPr="00832F28">
        <w:t xml:space="preserve"> (LOS),</w:t>
      </w:r>
      <w:r w:rsidRPr="00832F28">
        <w:t xml:space="preserve"> </w:t>
      </w:r>
      <w:r w:rsidR="006F48C5" w:rsidRPr="00832F28">
        <w:t xml:space="preserve">which </w:t>
      </w:r>
      <w:r w:rsidRPr="00832F28">
        <w:t xml:space="preserve">focussed on patients already discharged. </w:t>
      </w:r>
      <w:r w:rsidR="009F4A18" w:rsidRPr="00832F28">
        <w:t xml:space="preserve">It </w:t>
      </w:r>
      <w:r w:rsidR="00832F28" w:rsidRPr="00832F28">
        <w:t>was recognised</w:t>
      </w:r>
      <w:r w:rsidR="006F48C5" w:rsidRPr="00832F28">
        <w:t xml:space="preserve"> it would be beneficial </w:t>
      </w:r>
      <w:r w:rsidR="009F4A18" w:rsidRPr="00832F28">
        <w:t xml:space="preserve">to capture patients LOS who were yet undischarged </w:t>
      </w:r>
      <w:r w:rsidR="00636E0D" w:rsidRPr="00832F28">
        <w:t>as it likely these would contribute to</w:t>
      </w:r>
      <w:r w:rsidR="009F4A18" w:rsidRPr="00832F28">
        <w:t xml:space="preserve"> the delayed discharge cohorts. During the </w:t>
      </w:r>
      <w:r w:rsidR="00B06589" w:rsidRPr="00832F28">
        <w:t>programme,</w:t>
      </w:r>
      <w:r w:rsidR="008734D1" w:rsidRPr="00832F28">
        <w:t xml:space="preserve"> </w:t>
      </w:r>
      <w:r w:rsidR="00B06589" w:rsidRPr="00832F28">
        <w:t>Goal 5</w:t>
      </w:r>
      <w:r w:rsidR="00B06589">
        <w:t xml:space="preserve"> and DCHW</w:t>
      </w:r>
      <w:r w:rsidR="00B06589" w:rsidRPr="00832F28">
        <w:t xml:space="preserve"> developed a consistent method</w:t>
      </w:r>
      <w:r w:rsidR="008734D1" w:rsidRPr="00832F28">
        <w:t>.</w:t>
      </w:r>
      <w:r w:rsidR="009F4A18" w:rsidRPr="00832F28">
        <w:t xml:space="preserve"> </w:t>
      </w:r>
    </w:p>
    <w:p w:rsidR="00546061" w:rsidRDefault="00546061" w:rsidP="00431969">
      <w:pPr>
        <w:jc w:val="both"/>
      </w:pPr>
      <w:r>
        <w:t xml:space="preserve">Figure 6 &amp; 7 display </w:t>
      </w:r>
      <w:r w:rsidR="00832F28">
        <w:t>the</w:t>
      </w:r>
      <w:r>
        <w:t xml:space="preserve"> similar trend of improvement in performance to that of the delayed discharges shown in Figure 5. </w:t>
      </w:r>
    </w:p>
    <w:p w:rsidR="00062066" w:rsidRDefault="00062066" w:rsidP="00431969">
      <w:pPr>
        <w:jc w:val="both"/>
      </w:pPr>
      <w:r>
        <w:t xml:space="preserve">Figure 6- Monthly Count of 21 Day </w:t>
      </w:r>
    </w:p>
    <w:p w:rsidR="00062066" w:rsidRDefault="00062066" w:rsidP="00431969">
      <w:pPr>
        <w:jc w:val="both"/>
      </w:pPr>
      <w:r>
        <w:rPr>
          <w:noProof/>
          <w:lang w:eastAsia="en-GB"/>
        </w:rPr>
        <w:drawing>
          <wp:inline distT="0" distB="0" distL="0" distR="0" wp14:anchorId="06BD2629" wp14:editId="216DA553">
            <wp:extent cx="5731510" cy="1430655"/>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731510" cy="1430655"/>
                    </a:xfrm>
                    <a:prstGeom prst="rect">
                      <a:avLst/>
                    </a:prstGeom>
                  </pic:spPr>
                </pic:pic>
              </a:graphicData>
            </a:graphic>
          </wp:inline>
        </w:drawing>
      </w:r>
    </w:p>
    <w:p w:rsidR="00171BF2" w:rsidRDefault="00171BF2" w:rsidP="00431969">
      <w:pPr>
        <w:jc w:val="both"/>
      </w:pPr>
      <w:r>
        <w:t>Figure</w:t>
      </w:r>
      <w:r w:rsidR="000D59B6">
        <w:t xml:space="preserve"> 7- % Patients greater than 21 D</w:t>
      </w:r>
      <w:r>
        <w:t xml:space="preserve">ay within the current bed base. </w:t>
      </w:r>
    </w:p>
    <w:p w:rsidR="00C37EFC" w:rsidRDefault="001D07F9" w:rsidP="00D81B78">
      <w:pPr>
        <w:jc w:val="both"/>
      </w:pPr>
      <w:r>
        <w:rPr>
          <w:noProof/>
          <w:lang w:eastAsia="en-GB"/>
        </w:rPr>
        <w:drawing>
          <wp:inline distT="0" distB="0" distL="0" distR="0" wp14:anchorId="066C1DFF" wp14:editId="7CC785FE">
            <wp:extent cx="5731510" cy="1332230"/>
            <wp:effectExtent l="0" t="0" r="2540" b="127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731510" cy="1332230"/>
                    </a:xfrm>
                    <a:prstGeom prst="rect">
                      <a:avLst/>
                    </a:prstGeom>
                  </pic:spPr>
                </pic:pic>
              </a:graphicData>
            </a:graphic>
          </wp:inline>
        </w:drawing>
      </w:r>
    </w:p>
    <w:p w:rsidR="000D59B6" w:rsidRDefault="00C427A6" w:rsidP="000D59B6">
      <w:pPr>
        <w:pStyle w:val="ListParagraph"/>
        <w:numPr>
          <w:ilvl w:val="0"/>
          <w:numId w:val="8"/>
        </w:numPr>
        <w:jc w:val="both"/>
      </w:pPr>
      <w:r>
        <w:t xml:space="preserve">Pathways of Care Delays- </w:t>
      </w:r>
      <w:r w:rsidR="000D59B6">
        <w:t>POCD</w:t>
      </w:r>
    </w:p>
    <w:p w:rsidR="00546061" w:rsidRDefault="00C427A6" w:rsidP="000D59B6">
      <w:pPr>
        <w:jc w:val="both"/>
      </w:pPr>
      <w:r>
        <w:t xml:space="preserve">The previous delayed </w:t>
      </w:r>
      <w:r w:rsidR="001E09F4">
        <w:t>discharge reports were</w:t>
      </w:r>
      <w:r w:rsidR="004B7553">
        <w:t xml:space="preserve"> undertaken via the Delayed Transfers of Care (DTOC) census </w:t>
      </w:r>
      <w:r w:rsidR="006F48C5">
        <w:t xml:space="preserve">reporting which </w:t>
      </w:r>
      <w:r w:rsidR="004B7553">
        <w:t xml:space="preserve">was stood down at the start of the pandemic. As part of the work undertaken by Goal 6, there was a project to refresh and </w:t>
      </w:r>
      <w:r w:rsidR="001A573F">
        <w:t>restart reporting</w:t>
      </w:r>
      <w:r w:rsidR="006F48C5">
        <w:t xml:space="preserve"> </w:t>
      </w:r>
      <w:r w:rsidR="001A573F">
        <w:t>which provides</w:t>
      </w:r>
      <w:r w:rsidR="006F48C5">
        <w:t xml:space="preserve"> validated data for </w:t>
      </w:r>
      <w:r w:rsidR="004B7553">
        <w:t xml:space="preserve">total discharge delays and reason codes for the delay. By refreshing the dataset, it also allowed the opportunity </w:t>
      </w:r>
      <w:r w:rsidR="006F48C5">
        <w:t xml:space="preserve">to apply </w:t>
      </w:r>
      <w:r w:rsidR="004B7553">
        <w:t xml:space="preserve">a </w:t>
      </w:r>
      <w:r w:rsidR="008734D1">
        <w:t>consistent definition</w:t>
      </w:r>
      <w:r w:rsidR="004B7553">
        <w:t xml:space="preserve"> of </w:t>
      </w:r>
      <w:r w:rsidR="006F48C5">
        <w:t xml:space="preserve">a </w:t>
      </w:r>
      <w:r w:rsidR="004B7553">
        <w:t xml:space="preserve">delay </w:t>
      </w:r>
      <w:r w:rsidR="006F48C5">
        <w:t>across Wales</w:t>
      </w:r>
      <w:r w:rsidR="00C143DE">
        <w:t>, which</w:t>
      </w:r>
      <w:r w:rsidR="006F48C5">
        <w:t xml:space="preserve"> allows </w:t>
      </w:r>
      <w:r w:rsidR="004B7553">
        <w:t>effective comparison</w:t>
      </w:r>
      <w:r w:rsidR="004F2F35">
        <w:t>/benchmarking</w:t>
      </w:r>
      <w:r w:rsidR="004B7553">
        <w:t xml:space="preserve"> between regions. Due to the improvements made </w:t>
      </w:r>
      <w:r w:rsidR="004F2F35">
        <w:t xml:space="preserve">with the launch of the Pathways of Care Delay </w:t>
      </w:r>
      <w:r w:rsidR="008734D1">
        <w:t>reporting it</w:t>
      </w:r>
      <w:r w:rsidR="00883738">
        <w:t xml:space="preserve"> is not possible to compare delayed discharges via DTOC pre pandem</w:t>
      </w:r>
      <w:r w:rsidR="00546061">
        <w:t>ic to those outlined in Figure 8</w:t>
      </w:r>
      <w:r w:rsidR="00883738">
        <w:t xml:space="preserve">. </w:t>
      </w:r>
      <w:r w:rsidR="007729C5">
        <w:t xml:space="preserve">When assessing impact from November, the overall number of delays have risen but the days delayed has stayed relatively static which </w:t>
      </w:r>
      <w:r w:rsidR="008734D1">
        <w:t xml:space="preserve">suggests </w:t>
      </w:r>
      <w:r w:rsidR="007729C5">
        <w:t>that the long</w:t>
      </w:r>
      <w:r w:rsidR="000A1002">
        <w:t>est lengths of stay patients were</w:t>
      </w:r>
      <w:r w:rsidR="007729C5">
        <w:t xml:space="preserve"> being discharged at a faster rate.</w:t>
      </w:r>
      <w:r w:rsidR="00546061">
        <w:t xml:space="preserve"> This also corresponds with the improvements in performance shown in the 21+ </w:t>
      </w:r>
      <w:r w:rsidR="00832F28">
        <w:t>cohorts that</w:t>
      </w:r>
      <w:r w:rsidR="00546061">
        <w:t xml:space="preserve"> are the longest LOS patients. </w:t>
      </w:r>
      <w:r w:rsidR="007729C5">
        <w:t xml:space="preserve"> </w:t>
      </w:r>
    </w:p>
    <w:p w:rsidR="00C143DE" w:rsidRDefault="00C143DE" w:rsidP="000D59B6">
      <w:pPr>
        <w:jc w:val="both"/>
      </w:pPr>
      <w:r>
        <w:t>By being able to identi</w:t>
      </w:r>
      <w:r w:rsidR="001E09F4">
        <w:t>fy reasons for delay, it enabled</w:t>
      </w:r>
      <w:r>
        <w:t xml:space="preserve"> regions to best target their resources and for national bodies to provide supporting infrastructure</w:t>
      </w:r>
      <w:r w:rsidR="001E09F4">
        <w:t>. An evidence of this process was</w:t>
      </w:r>
      <w:r>
        <w:t xml:space="preserve"> the identification of significant assessment delays preventing patients from moving on to the next stage of their discharge. To begin to address these assessment delays, Trusted Assessor guidance was launched during the programme to enable a more efficient assessment based on the principle of only undertaking proportionate assessments. </w:t>
      </w:r>
    </w:p>
    <w:p w:rsidR="00883738" w:rsidRDefault="00546061" w:rsidP="000D59B6">
      <w:pPr>
        <w:jc w:val="both"/>
      </w:pPr>
      <w:r>
        <w:t>Figure 8</w:t>
      </w:r>
      <w:r w:rsidR="00883738">
        <w:t xml:space="preserve">- Pathways of Care Delays November 2022- February 2023. </w:t>
      </w:r>
    </w:p>
    <w:p w:rsidR="004B7553" w:rsidRDefault="004B7553" w:rsidP="000D59B6">
      <w:pPr>
        <w:jc w:val="both"/>
      </w:pPr>
      <w:r w:rsidRPr="004B7553">
        <w:rPr>
          <w:noProof/>
          <w:lang w:eastAsia="en-GB"/>
        </w:rPr>
        <w:drawing>
          <wp:inline distT="0" distB="0" distL="0" distR="0" wp14:anchorId="0D6C509F" wp14:editId="0F5D943E">
            <wp:extent cx="6241865" cy="1455420"/>
            <wp:effectExtent l="0" t="0" r="698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249583" cy="1457220"/>
                    </a:xfrm>
                    <a:prstGeom prst="rect">
                      <a:avLst/>
                    </a:prstGeom>
                    <a:noFill/>
                    <a:ln>
                      <a:noFill/>
                    </a:ln>
                  </pic:spPr>
                </pic:pic>
              </a:graphicData>
            </a:graphic>
          </wp:inline>
        </w:drawing>
      </w:r>
    </w:p>
    <w:p w:rsidR="00CA30EC" w:rsidRDefault="00CA30EC" w:rsidP="00CA30EC">
      <w:pPr>
        <w:pStyle w:val="ListParagraph"/>
        <w:numPr>
          <w:ilvl w:val="0"/>
          <w:numId w:val="8"/>
        </w:numPr>
        <w:jc w:val="both"/>
      </w:pPr>
      <w:r>
        <w:t xml:space="preserve">Social Care Checkpoint </w:t>
      </w:r>
    </w:p>
    <w:p w:rsidR="00CA30EC" w:rsidRDefault="00EA4AFA" w:rsidP="00CA30EC">
      <w:pPr>
        <w:jc w:val="both"/>
      </w:pPr>
      <w:r>
        <w:t xml:space="preserve">Based on learning of the bespoke questionnaires undertaken at the start of the process, the Social Care Checkpoint data was revamped to capture a more comprehensive </w:t>
      </w:r>
      <w:r w:rsidR="004F2F35">
        <w:t>data set for</w:t>
      </w:r>
      <w:r w:rsidR="008734D1">
        <w:t xml:space="preserve"> </w:t>
      </w:r>
      <w:r w:rsidR="00832F28">
        <w:t>the Social</w:t>
      </w:r>
      <w:r>
        <w:t xml:space="preserve"> Care </w:t>
      </w:r>
      <w:r w:rsidR="004F2F35">
        <w:t xml:space="preserve">system </w:t>
      </w:r>
      <w:r>
        <w:t>demands</w:t>
      </w:r>
      <w:r w:rsidR="003701BD">
        <w:t xml:space="preserve"> and crucially remains the source of data for both in-hospital and community based demand</w:t>
      </w:r>
      <w:r>
        <w:t xml:space="preserve">. </w:t>
      </w:r>
    </w:p>
    <w:p w:rsidR="00EA4AFA" w:rsidRDefault="00EA4AFA" w:rsidP="00CA30EC">
      <w:pPr>
        <w:jc w:val="both"/>
      </w:pPr>
      <w:r>
        <w:object w:dxaOrig="1520" w:dyaOrig="988" w14:anchorId="140CD6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pt;height:49pt" o:ole="">
            <v:imagedata r:id="rId37" o:title=""/>
          </v:shape>
          <o:OLEObject Type="Embed" ProgID="AcroExch.Document.DC" ShapeID="_x0000_i1025" DrawAspect="Icon" ObjectID="_1741699384" r:id="rId38"/>
        </w:object>
      </w:r>
    </w:p>
    <w:p w:rsidR="00EA4AFA" w:rsidRDefault="000A1002" w:rsidP="00CA30EC">
      <w:pPr>
        <w:jc w:val="both"/>
      </w:pPr>
      <w:r>
        <w:t>The embedded document was</w:t>
      </w:r>
      <w:r w:rsidR="00EA4AFA">
        <w:t xml:space="preserve"> the most recent report from February 2023. On </w:t>
      </w:r>
      <w:r w:rsidR="00832F28">
        <w:t>review,</w:t>
      </w:r>
      <w:r w:rsidR="00EA4AFA">
        <w:t xml:space="preserve"> it has been suggested: </w:t>
      </w:r>
    </w:p>
    <w:p w:rsidR="00EA4AFA" w:rsidRPr="00EA4AFA" w:rsidRDefault="00EA4AFA" w:rsidP="00EA4AFA">
      <w:pPr>
        <w:pStyle w:val="ListParagraph"/>
        <w:numPr>
          <w:ilvl w:val="0"/>
          <w:numId w:val="9"/>
        </w:numPr>
        <w:spacing w:after="0" w:line="240" w:lineRule="auto"/>
        <w:contextualSpacing w:val="0"/>
        <w:rPr>
          <w:color w:val="000000" w:themeColor="text1"/>
        </w:rPr>
      </w:pPr>
      <w:r w:rsidRPr="00EA4AFA">
        <w:rPr>
          <w:color w:val="000000" w:themeColor="text1"/>
        </w:rPr>
        <w:t xml:space="preserve">Contacts and referrals remain high </w:t>
      </w:r>
      <w:r w:rsidR="003701BD">
        <w:rPr>
          <w:color w:val="000000" w:themeColor="text1"/>
        </w:rPr>
        <w:t>which suggest the</w:t>
      </w:r>
      <w:r w:rsidRPr="00EA4AFA">
        <w:rPr>
          <w:color w:val="000000" w:themeColor="text1"/>
        </w:rPr>
        <w:t xml:space="preserve"> system demand remains </w:t>
      </w:r>
    </w:p>
    <w:p w:rsidR="00633F7B" w:rsidRDefault="00EA4AFA" w:rsidP="006A235C">
      <w:pPr>
        <w:pStyle w:val="ListParagraph"/>
        <w:numPr>
          <w:ilvl w:val="0"/>
          <w:numId w:val="9"/>
        </w:numPr>
        <w:spacing w:after="0" w:line="240" w:lineRule="auto"/>
        <w:contextualSpacing w:val="0"/>
        <w:rPr>
          <w:color w:val="000000" w:themeColor="text1"/>
        </w:rPr>
      </w:pPr>
      <w:r w:rsidRPr="00633F7B">
        <w:rPr>
          <w:color w:val="000000" w:themeColor="text1"/>
        </w:rPr>
        <w:t>Assessment completions remains at consistent high levels but waiti</w:t>
      </w:r>
      <w:r w:rsidR="000A1002">
        <w:rPr>
          <w:color w:val="000000" w:themeColor="text1"/>
        </w:rPr>
        <w:t xml:space="preserve">ng for assessments were </w:t>
      </w:r>
      <w:r w:rsidR="003701BD" w:rsidRPr="00633F7B">
        <w:rPr>
          <w:color w:val="000000" w:themeColor="text1"/>
        </w:rPr>
        <w:t xml:space="preserve">static </w:t>
      </w:r>
    </w:p>
    <w:p w:rsidR="00EA4AFA" w:rsidRPr="00633F7B" w:rsidRDefault="00EA4AFA" w:rsidP="006A235C">
      <w:pPr>
        <w:pStyle w:val="ListParagraph"/>
        <w:numPr>
          <w:ilvl w:val="0"/>
          <w:numId w:val="9"/>
        </w:numPr>
        <w:spacing w:after="0" w:line="240" w:lineRule="auto"/>
        <w:contextualSpacing w:val="0"/>
        <w:rPr>
          <w:color w:val="000000" w:themeColor="text1"/>
        </w:rPr>
      </w:pPr>
      <w:r w:rsidRPr="00633F7B">
        <w:rPr>
          <w:color w:val="000000" w:themeColor="text1"/>
        </w:rPr>
        <w:t>Low numbers waiting for residential placement so potential stem of pressure for alternative placements</w:t>
      </w:r>
    </w:p>
    <w:p w:rsidR="00EA4AFA" w:rsidRPr="00EA4AFA" w:rsidRDefault="00EA4AFA" w:rsidP="00EA4AFA">
      <w:pPr>
        <w:pStyle w:val="ListParagraph"/>
        <w:numPr>
          <w:ilvl w:val="0"/>
          <w:numId w:val="9"/>
        </w:numPr>
        <w:spacing w:after="0" w:line="240" w:lineRule="auto"/>
        <w:contextualSpacing w:val="0"/>
        <w:rPr>
          <w:color w:val="000000" w:themeColor="text1"/>
        </w:rPr>
      </w:pPr>
      <w:r w:rsidRPr="00EA4AFA">
        <w:rPr>
          <w:color w:val="000000" w:themeColor="text1"/>
        </w:rPr>
        <w:t>Unplanned residential placements – Numbers of people in alternative resid</w:t>
      </w:r>
      <w:r w:rsidR="000A1002">
        <w:rPr>
          <w:color w:val="000000" w:themeColor="text1"/>
        </w:rPr>
        <w:t>ential care for 6 months plus are</w:t>
      </w:r>
      <w:r w:rsidRPr="00EA4AFA">
        <w:rPr>
          <w:color w:val="000000" w:themeColor="text1"/>
        </w:rPr>
        <w:t xml:space="preserve"> now reducing so care packages being identified to support people to return to their own homes</w:t>
      </w:r>
    </w:p>
    <w:p w:rsidR="00EA4AFA" w:rsidRPr="00EA4AFA" w:rsidRDefault="00EA4AFA" w:rsidP="00EA4AFA">
      <w:pPr>
        <w:pStyle w:val="ListParagraph"/>
        <w:numPr>
          <w:ilvl w:val="0"/>
          <w:numId w:val="9"/>
        </w:numPr>
        <w:spacing w:after="0" w:line="240" w:lineRule="auto"/>
        <w:contextualSpacing w:val="0"/>
        <w:rPr>
          <w:color w:val="000000" w:themeColor="text1"/>
        </w:rPr>
      </w:pPr>
      <w:r w:rsidRPr="00EA4AFA">
        <w:rPr>
          <w:color w:val="000000" w:themeColor="text1"/>
        </w:rPr>
        <w:t xml:space="preserve">Numbers of people waiting for </w:t>
      </w:r>
      <w:r w:rsidR="00633F7B" w:rsidRPr="00EA4AFA">
        <w:rPr>
          <w:color w:val="000000" w:themeColor="text1"/>
        </w:rPr>
        <w:t>dom</w:t>
      </w:r>
      <w:r w:rsidR="00633F7B">
        <w:rPr>
          <w:color w:val="000000" w:themeColor="text1"/>
        </w:rPr>
        <w:t xml:space="preserve">iciliary </w:t>
      </w:r>
      <w:r w:rsidR="00633F7B" w:rsidRPr="00EA4AFA">
        <w:rPr>
          <w:color w:val="000000" w:themeColor="text1"/>
        </w:rPr>
        <w:t>care</w:t>
      </w:r>
      <w:r w:rsidRPr="00EA4AFA">
        <w:rPr>
          <w:color w:val="000000" w:themeColor="text1"/>
        </w:rPr>
        <w:t xml:space="preserve"> reduced since November 2022</w:t>
      </w:r>
    </w:p>
    <w:p w:rsidR="00EA4AFA" w:rsidRPr="00EA4AFA" w:rsidRDefault="00EA4AFA" w:rsidP="00EA4AFA">
      <w:pPr>
        <w:pStyle w:val="ListParagraph"/>
        <w:numPr>
          <w:ilvl w:val="0"/>
          <w:numId w:val="9"/>
        </w:numPr>
        <w:spacing w:after="0" w:line="240" w:lineRule="auto"/>
        <w:contextualSpacing w:val="0"/>
        <w:rPr>
          <w:color w:val="000000" w:themeColor="text1"/>
        </w:rPr>
      </w:pPr>
      <w:r w:rsidRPr="00EA4AFA">
        <w:rPr>
          <w:color w:val="000000" w:themeColor="text1"/>
        </w:rPr>
        <w:t xml:space="preserve">Numbers of people in receipt of </w:t>
      </w:r>
      <w:r w:rsidR="00633F7B" w:rsidRPr="00EA4AFA">
        <w:rPr>
          <w:color w:val="000000" w:themeColor="text1"/>
        </w:rPr>
        <w:t>dom</w:t>
      </w:r>
      <w:r w:rsidR="00633F7B">
        <w:rPr>
          <w:color w:val="000000" w:themeColor="text1"/>
        </w:rPr>
        <w:t xml:space="preserve">iciliary </w:t>
      </w:r>
      <w:r w:rsidR="00633F7B" w:rsidRPr="00EA4AFA">
        <w:rPr>
          <w:color w:val="000000" w:themeColor="text1"/>
        </w:rPr>
        <w:t>care</w:t>
      </w:r>
      <w:r w:rsidRPr="00EA4AFA">
        <w:rPr>
          <w:color w:val="000000" w:themeColor="text1"/>
        </w:rPr>
        <w:t xml:space="preserve"> since Nov 2022 has increased</w:t>
      </w:r>
    </w:p>
    <w:p w:rsidR="00EA4AFA" w:rsidRPr="00EA4AFA" w:rsidRDefault="00EA4AFA" w:rsidP="00EA4AFA">
      <w:pPr>
        <w:pStyle w:val="ListParagraph"/>
        <w:numPr>
          <w:ilvl w:val="0"/>
          <w:numId w:val="9"/>
        </w:numPr>
        <w:spacing w:after="0" w:line="240" w:lineRule="auto"/>
        <w:contextualSpacing w:val="0"/>
        <w:rPr>
          <w:color w:val="000000" w:themeColor="text1"/>
        </w:rPr>
      </w:pPr>
      <w:r w:rsidRPr="00EA4AFA">
        <w:rPr>
          <w:color w:val="000000" w:themeColor="text1"/>
        </w:rPr>
        <w:t xml:space="preserve">Numbers of people waiting for </w:t>
      </w:r>
      <w:r w:rsidR="00633F7B" w:rsidRPr="00EA4AFA">
        <w:rPr>
          <w:color w:val="000000" w:themeColor="text1"/>
        </w:rPr>
        <w:t>dom</w:t>
      </w:r>
      <w:r w:rsidR="00633F7B">
        <w:rPr>
          <w:color w:val="000000" w:themeColor="text1"/>
        </w:rPr>
        <w:t xml:space="preserve">iciliary </w:t>
      </w:r>
      <w:r w:rsidR="00633F7B" w:rsidRPr="00EA4AFA">
        <w:rPr>
          <w:color w:val="000000" w:themeColor="text1"/>
        </w:rPr>
        <w:t>care</w:t>
      </w:r>
      <w:r w:rsidRPr="00EA4AFA">
        <w:rPr>
          <w:color w:val="000000" w:themeColor="text1"/>
        </w:rPr>
        <w:t xml:space="preserve"> hours has reduced since Nov 2022, currently 14284 hours (whole social care system not just hospital based)</w:t>
      </w:r>
    </w:p>
    <w:p w:rsidR="005426A2" w:rsidRDefault="00EA4AFA" w:rsidP="005426A2">
      <w:pPr>
        <w:pStyle w:val="ListParagraph"/>
        <w:numPr>
          <w:ilvl w:val="0"/>
          <w:numId w:val="9"/>
        </w:numPr>
        <w:spacing w:after="0" w:line="240" w:lineRule="auto"/>
        <w:contextualSpacing w:val="0"/>
        <w:rPr>
          <w:color w:val="000000" w:themeColor="text1"/>
        </w:rPr>
      </w:pPr>
      <w:r w:rsidRPr="00DD2760">
        <w:rPr>
          <w:color w:val="000000" w:themeColor="text1"/>
        </w:rPr>
        <w:t>Reablement waits reducing which improves opportunity for people</w:t>
      </w:r>
      <w:r w:rsidR="00DD2760" w:rsidRPr="00DD2760">
        <w:rPr>
          <w:color w:val="000000" w:themeColor="text1"/>
        </w:rPr>
        <w:t xml:space="preserve"> and the</w:t>
      </w:r>
      <w:r w:rsidR="005426A2">
        <w:rPr>
          <w:color w:val="000000" w:themeColor="text1"/>
        </w:rPr>
        <w:t xml:space="preserve"> rightsizing of any ongoing care. </w:t>
      </w:r>
    </w:p>
    <w:p w:rsidR="005426A2" w:rsidRDefault="005426A2" w:rsidP="005426A2">
      <w:pPr>
        <w:spacing w:after="0" w:line="240" w:lineRule="auto"/>
        <w:rPr>
          <w:color w:val="000000" w:themeColor="text1"/>
        </w:rPr>
      </w:pPr>
    </w:p>
    <w:p w:rsidR="005426A2" w:rsidRPr="005426A2" w:rsidRDefault="005426A2" w:rsidP="005426A2">
      <w:pPr>
        <w:spacing w:after="0" w:line="240" w:lineRule="auto"/>
        <w:rPr>
          <w:color w:val="000000" w:themeColor="text1"/>
        </w:rPr>
      </w:pPr>
      <w:r>
        <w:rPr>
          <w:color w:val="000000" w:themeColor="text1"/>
        </w:rPr>
        <w:t xml:space="preserve">It is envisaged these currently separate reporting mechanisms will become joint as they the datasets and definition mature and the 1000 bed programme has shown the need for a joint endeavour to support by health and social care metrics. </w:t>
      </w:r>
    </w:p>
    <w:p w:rsidR="00546061" w:rsidRDefault="00546061" w:rsidP="00CA30EC">
      <w:pPr>
        <w:jc w:val="both"/>
      </w:pPr>
    </w:p>
    <w:p w:rsidR="0023162B" w:rsidRDefault="009A0AE9" w:rsidP="00CA30EC">
      <w:pPr>
        <w:jc w:val="both"/>
        <w:rPr>
          <w:b/>
          <w:i/>
        </w:rPr>
      </w:pPr>
      <w:r>
        <w:rPr>
          <w:b/>
          <w:i/>
        </w:rPr>
        <w:t>Conclusion</w:t>
      </w:r>
    </w:p>
    <w:p w:rsidR="00BE14CE" w:rsidRDefault="009A0AE9" w:rsidP="00CA30EC">
      <w:pPr>
        <w:jc w:val="both"/>
      </w:pPr>
      <w:r>
        <w:t>As stated above this programme was commissioned to reduce risk and harm across the system whilst more Strategic/Transformation change was being designed and delivered.  The Further Faster Programme will be the main component moving forward in terms of articulating the Strategy/Vision for Integrated Care within Wales and addressing the more complex challenges such as private sector stability, workforce recruitment and retention and delivering community services which are truly integrated at the point of delivery.</w:t>
      </w:r>
    </w:p>
    <w:p w:rsidR="009A0AE9" w:rsidRDefault="009A0AE9" w:rsidP="00CA30EC">
      <w:pPr>
        <w:jc w:val="both"/>
      </w:pPr>
      <w:r>
        <w:t>Alongside Further Faster, existing National Programmes such as the 6 Goals for Urgent and Emergency Care Programme, the Strategic programme for Primary Care and the Regional Integrated Fund must continue to deliver the changes required to deliver sustainable care to our population.</w:t>
      </w:r>
    </w:p>
    <w:p w:rsidR="009A0AE9" w:rsidRDefault="009A0AE9" w:rsidP="00CA30EC">
      <w:pPr>
        <w:jc w:val="both"/>
        <w:rPr>
          <w:b/>
          <w:i/>
          <w:u w:val="single"/>
        </w:rPr>
      </w:pPr>
      <w:r>
        <w:rPr>
          <w:b/>
          <w:i/>
          <w:u w:val="single"/>
        </w:rPr>
        <w:t>Recommendations</w:t>
      </w:r>
    </w:p>
    <w:p w:rsidR="009A0AE9" w:rsidRDefault="009A0AE9" w:rsidP="00CA30EC">
      <w:pPr>
        <w:jc w:val="both"/>
      </w:pPr>
      <w:r>
        <w:t>Members are asked to:</w:t>
      </w:r>
    </w:p>
    <w:p w:rsidR="009A0AE9" w:rsidRDefault="009A0AE9" w:rsidP="009A0AE9">
      <w:pPr>
        <w:pStyle w:val="ListParagraph"/>
        <w:numPr>
          <w:ilvl w:val="0"/>
          <w:numId w:val="14"/>
        </w:numPr>
        <w:jc w:val="both"/>
      </w:pPr>
      <w:r>
        <w:t>Note the impact of the BCC programme for 2022/23 and the recurring impact for 2023/24;</w:t>
      </w:r>
    </w:p>
    <w:p w:rsidR="009A0AE9" w:rsidRDefault="009A0AE9" w:rsidP="009A0AE9">
      <w:pPr>
        <w:pStyle w:val="ListParagraph"/>
        <w:numPr>
          <w:ilvl w:val="0"/>
          <w:numId w:val="14"/>
        </w:numPr>
        <w:jc w:val="both"/>
      </w:pPr>
      <w:r>
        <w:t>Confirm that Further Faster will now be the core mechanism to lead the Integrated Care Strategy/Vision and delivery;</w:t>
      </w:r>
    </w:p>
    <w:p w:rsidR="009A0AE9" w:rsidRPr="009A0AE9" w:rsidRDefault="009A0AE9" w:rsidP="009A0AE9">
      <w:pPr>
        <w:pStyle w:val="ListParagraph"/>
        <w:numPr>
          <w:ilvl w:val="0"/>
          <w:numId w:val="14"/>
        </w:numPr>
        <w:jc w:val="both"/>
      </w:pPr>
      <w:r>
        <w:t>That the Governance structure established for the BCC work will be stood down from 1</w:t>
      </w:r>
      <w:r w:rsidRPr="009A0AE9">
        <w:rPr>
          <w:vertAlign w:val="superscript"/>
        </w:rPr>
        <w:t>st</w:t>
      </w:r>
      <w:r>
        <w:t xml:space="preserve"> April 2023 and replaced by the Further Faster Governance structure.  As such the Steering Board will be stood down from 1</w:t>
      </w:r>
      <w:r w:rsidRPr="009A0AE9">
        <w:rPr>
          <w:vertAlign w:val="superscript"/>
        </w:rPr>
        <w:t>st</w:t>
      </w:r>
      <w:r>
        <w:t xml:space="preserve"> April 2023 and the bi-weekly Regional meetings (these are not fit for purpose for Further Faster and will be replaced accordingly as agreed as part of the Further Faster programme).</w:t>
      </w:r>
    </w:p>
    <w:p w:rsidR="00546061" w:rsidRPr="00DD2760" w:rsidRDefault="00546061" w:rsidP="00CA30EC">
      <w:pPr>
        <w:jc w:val="both"/>
        <w:rPr>
          <w:b/>
          <w:i/>
        </w:rPr>
      </w:pPr>
    </w:p>
    <w:sectPr w:rsidR="00546061" w:rsidRPr="00DD2760">
      <w:footerReference w:type="default" r:id="rId39"/>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BECB88" w16cex:dateUtc="2023-03-17T11:20:00Z"/>
  <w16cex:commentExtensible w16cex:durableId="27BED051" w16cex:dateUtc="2023-03-17T11:41:00Z"/>
  <w16cex:commentExtensible w16cex:durableId="27BED09D" w16cex:dateUtc="2023-03-17T11: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FC6BC50" w16cid:durableId="27BECB88"/>
  <w16cid:commentId w16cid:paraId="377ADBFE" w16cid:durableId="27BED051"/>
  <w16cid:commentId w16cid:paraId="12D70C27" w16cid:durableId="27BED09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B53C8" w:rsidRDefault="009B53C8" w:rsidP="00CA30EC">
      <w:pPr>
        <w:spacing w:after="0" w:line="240" w:lineRule="auto"/>
      </w:pPr>
      <w:r>
        <w:separator/>
      </w:r>
    </w:p>
  </w:endnote>
  <w:endnote w:type="continuationSeparator" w:id="0">
    <w:p w:rsidR="009B53C8" w:rsidRDefault="009B53C8" w:rsidP="00CA30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839802"/>
      <w:docPartObj>
        <w:docPartGallery w:val="Page Numbers (Bottom of Page)"/>
        <w:docPartUnique/>
      </w:docPartObj>
    </w:sdtPr>
    <w:sdtEndPr>
      <w:rPr>
        <w:noProof/>
      </w:rPr>
    </w:sdtEndPr>
    <w:sdtContent>
      <w:p w:rsidR="00CA30EC" w:rsidRDefault="00CA30EC">
        <w:pPr>
          <w:pStyle w:val="Footer"/>
          <w:jc w:val="center"/>
        </w:pPr>
        <w:r>
          <w:fldChar w:fldCharType="begin"/>
        </w:r>
        <w:r>
          <w:instrText xml:space="preserve"> PAGE   \* MERGEFORMAT </w:instrText>
        </w:r>
        <w:r>
          <w:fldChar w:fldCharType="separate"/>
        </w:r>
        <w:r w:rsidR="00C54D11">
          <w:rPr>
            <w:noProof/>
          </w:rPr>
          <w:t>1</w:t>
        </w:r>
        <w:r>
          <w:rPr>
            <w:noProof/>
          </w:rPr>
          <w:fldChar w:fldCharType="end"/>
        </w:r>
      </w:p>
    </w:sdtContent>
  </w:sdt>
  <w:p w:rsidR="00CA30EC" w:rsidRDefault="00CA30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B53C8" w:rsidRDefault="009B53C8" w:rsidP="00CA30EC">
      <w:pPr>
        <w:spacing w:after="0" w:line="240" w:lineRule="auto"/>
      </w:pPr>
      <w:r>
        <w:separator/>
      </w:r>
    </w:p>
  </w:footnote>
  <w:footnote w:type="continuationSeparator" w:id="0">
    <w:p w:rsidR="009B53C8" w:rsidRDefault="009B53C8" w:rsidP="00CA30E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95BE0"/>
    <w:multiLevelType w:val="hybridMultilevel"/>
    <w:tmpl w:val="73C0E6C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4C00A39"/>
    <w:multiLevelType w:val="hybridMultilevel"/>
    <w:tmpl w:val="1C7C004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284C3532"/>
    <w:multiLevelType w:val="hybridMultilevel"/>
    <w:tmpl w:val="FAAE8E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CCE24CA"/>
    <w:multiLevelType w:val="hybridMultilevel"/>
    <w:tmpl w:val="45425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8776253"/>
    <w:multiLevelType w:val="multilevel"/>
    <w:tmpl w:val="0809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38985A41"/>
    <w:multiLevelType w:val="hybridMultilevel"/>
    <w:tmpl w:val="658ACD8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44D8535E"/>
    <w:multiLevelType w:val="hybridMultilevel"/>
    <w:tmpl w:val="E72E75F4"/>
    <w:lvl w:ilvl="0" w:tplc="BDD65A6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9795B40"/>
    <w:multiLevelType w:val="hybridMultilevel"/>
    <w:tmpl w:val="DB48DAE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49AD3252"/>
    <w:multiLevelType w:val="hybridMultilevel"/>
    <w:tmpl w:val="44FE420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532321C"/>
    <w:multiLevelType w:val="hybridMultilevel"/>
    <w:tmpl w:val="115EADD0"/>
    <w:lvl w:ilvl="0" w:tplc="BDD65A6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A693129"/>
    <w:multiLevelType w:val="hybridMultilevel"/>
    <w:tmpl w:val="6CE03A2C"/>
    <w:lvl w:ilvl="0" w:tplc="0EE6D62E">
      <w:start w:val="1"/>
      <w:numFmt w:val="bullet"/>
      <w:lvlText w:val=""/>
      <w:lvlJc w:val="left"/>
      <w:pPr>
        <w:tabs>
          <w:tab w:val="num" w:pos="720"/>
        </w:tabs>
        <w:ind w:left="720" w:hanging="360"/>
      </w:pPr>
      <w:rPr>
        <w:rFonts w:ascii="Wingdings" w:hAnsi="Wingdings" w:hint="default"/>
      </w:rPr>
    </w:lvl>
    <w:lvl w:ilvl="1" w:tplc="4E5A4302" w:tentative="1">
      <w:start w:val="1"/>
      <w:numFmt w:val="bullet"/>
      <w:lvlText w:val=""/>
      <w:lvlJc w:val="left"/>
      <w:pPr>
        <w:tabs>
          <w:tab w:val="num" w:pos="1440"/>
        </w:tabs>
        <w:ind w:left="1440" w:hanging="360"/>
      </w:pPr>
      <w:rPr>
        <w:rFonts w:ascii="Wingdings" w:hAnsi="Wingdings" w:hint="default"/>
      </w:rPr>
    </w:lvl>
    <w:lvl w:ilvl="2" w:tplc="2306EC38" w:tentative="1">
      <w:start w:val="1"/>
      <w:numFmt w:val="bullet"/>
      <w:lvlText w:val=""/>
      <w:lvlJc w:val="left"/>
      <w:pPr>
        <w:tabs>
          <w:tab w:val="num" w:pos="2160"/>
        </w:tabs>
        <w:ind w:left="2160" w:hanging="360"/>
      </w:pPr>
      <w:rPr>
        <w:rFonts w:ascii="Wingdings" w:hAnsi="Wingdings" w:hint="default"/>
      </w:rPr>
    </w:lvl>
    <w:lvl w:ilvl="3" w:tplc="CF660004" w:tentative="1">
      <w:start w:val="1"/>
      <w:numFmt w:val="bullet"/>
      <w:lvlText w:val=""/>
      <w:lvlJc w:val="left"/>
      <w:pPr>
        <w:tabs>
          <w:tab w:val="num" w:pos="2880"/>
        </w:tabs>
        <w:ind w:left="2880" w:hanging="360"/>
      </w:pPr>
      <w:rPr>
        <w:rFonts w:ascii="Wingdings" w:hAnsi="Wingdings" w:hint="default"/>
      </w:rPr>
    </w:lvl>
    <w:lvl w:ilvl="4" w:tplc="D954F7D0" w:tentative="1">
      <w:start w:val="1"/>
      <w:numFmt w:val="bullet"/>
      <w:lvlText w:val=""/>
      <w:lvlJc w:val="left"/>
      <w:pPr>
        <w:tabs>
          <w:tab w:val="num" w:pos="3600"/>
        </w:tabs>
        <w:ind w:left="3600" w:hanging="360"/>
      </w:pPr>
      <w:rPr>
        <w:rFonts w:ascii="Wingdings" w:hAnsi="Wingdings" w:hint="default"/>
      </w:rPr>
    </w:lvl>
    <w:lvl w:ilvl="5" w:tplc="6F6A9D68" w:tentative="1">
      <w:start w:val="1"/>
      <w:numFmt w:val="bullet"/>
      <w:lvlText w:val=""/>
      <w:lvlJc w:val="left"/>
      <w:pPr>
        <w:tabs>
          <w:tab w:val="num" w:pos="4320"/>
        </w:tabs>
        <w:ind w:left="4320" w:hanging="360"/>
      </w:pPr>
      <w:rPr>
        <w:rFonts w:ascii="Wingdings" w:hAnsi="Wingdings" w:hint="default"/>
      </w:rPr>
    </w:lvl>
    <w:lvl w:ilvl="6" w:tplc="21A4D192" w:tentative="1">
      <w:start w:val="1"/>
      <w:numFmt w:val="bullet"/>
      <w:lvlText w:val=""/>
      <w:lvlJc w:val="left"/>
      <w:pPr>
        <w:tabs>
          <w:tab w:val="num" w:pos="5040"/>
        </w:tabs>
        <w:ind w:left="5040" w:hanging="360"/>
      </w:pPr>
      <w:rPr>
        <w:rFonts w:ascii="Wingdings" w:hAnsi="Wingdings" w:hint="default"/>
      </w:rPr>
    </w:lvl>
    <w:lvl w:ilvl="7" w:tplc="447EFC06" w:tentative="1">
      <w:start w:val="1"/>
      <w:numFmt w:val="bullet"/>
      <w:lvlText w:val=""/>
      <w:lvlJc w:val="left"/>
      <w:pPr>
        <w:tabs>
          <w:tab w:val="num" w:pos="5760"/>
        </w:tabs>
        <w:ind w:left="5760" w:hanging="360"/>
      </w:pPr>
      <w:rPr>
        <w:rFonts w:ascii="Wingdings" w:hAnsi="Wingdings" w:hint="default"/>
      </w:rPr>
    </w:lvl>
    <w:lvl w:ilvl="8" w:tplc="256C0F00"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67672D4A"/>
    <w:multiLevelType w:val="hybridMultilevel"/>
    <w:tmpl w:val="3B3A6D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6E697523"/>
    <w:multiLevelType w:val="hybridMultilevel"/>
    <w:tmpl w:val="FD0C64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8C322C8"/>
    <w:multiLevelType w:val="hybridMultilevel"/>
    <w:tmpl w:val="F2983FF6"/>
    <w:lvl w:ilvl="0" w:tplc="36F6F610">
      <w:start w:val="1"/>
      <w:numFmt w:val="bullet"/>
      <w:lvlText w:val=""/>
      <w:lvlJc w:val="left"/>
      <w:pPr>
        <w:tabs>
          <w:tab w:val="num" w:pos="720"/>
        </w:tabs>
        <w:ind w:left="720" w:hanging="360"/>
      </w:pPr>
      <w:rPr>
        <w:rFonts w:ascii="Wingdings" w:hAnsi="Wingdings" w:hint="default"/>
      </w:rPr>
    </w:lvl>
    <w:lvl w:ilvl="1" w:tplc="44FA78BA" w:tentative="1">
      <w:start w:val="1"/>
      <w:numFmt w:val="bullet"/>
      <w:lvlText w:val=""/>
      <w:lvlJc w:val="left"/>
      <w:pPr>
        <w:tabs>
          <w:tab w:val="num" w:pos="1440"/>
        </w:tabs>
        <w:ind w:left="1440" w:hanging="360"/>
      </w:pPr>
      <w:rPr>
        <w:rFonts w:ascii="Wingdings" w:hAnsi="Wingdings" w:hint="default"/>
      </w:rPr>
    </w:lvl>
    <w:lvl w:ilvl="2" w:tplc="1E086076" w:tentative="1">
      <w:start w:val="1"/>
      <w:numFmt w:val="bullet"/>
      <w:lvlText w:val=""/>
      <w:lvlJc w:val="left"/>
      <w:pPr>
        <w:tabs>
          <w:tab w:val="num" w:pos="2160"/>
        </w:tabs>
        <w:ind w:left="2160" w:hanging="360"/>
      </w:pPr>
      <w:rPr>
        <w:rFonts w:ascii="Wingdings" w:hAnsi="Wingdings" w:hint="default"/>
      </w:rPr>
    </w:lvl>
    <w:lvl w:ilvl="3" w:tplc="04B02182" w:tentative="1">
      <w:start w:val="1"/>
      <w:numFmt w:val="bullet"/>
      <w:lvlText w:val=""/>
      <w:lvlJc w:val="left"/>
      <w:pPr>
        <w:tabs>
          <w:tab w:val="num" w:pos="2880"/>
        </w:tabs>
        <w:ind w:left="2880" w:hanging="360"/>
      </w:pPr>
      <w:rPr>
        <w:rFonts w:ascii="Wingdings" w:hAnsi="Wingdings" w:hint="default"/>
      </w:rPr>
    </w:lvl>
    <w:lvl w:ilvl="4" w:tplc="D4126936" w:tentative="1">
      <w:start w:val="1"/>
      <w:numFmt w:val="bullet"/>
      <w:lvlText w:val=""/>
      <w:lvlJc w:val="left"/>
      <w:pPr>
        <w:tabs>
          <w:tab w:val="num" w:pos="3600"/>
        </w:tabs>
        <w:ind w:left="3600" w:hanging="360"/>
      </w:pPr>
      <w:rPr>
        <w:rFonts w:ascii="Wingdings" w:hAnsi="Wingdings" w:hint="default"/>
      </w:rPr>
    </w:lvl>
    <w:lvl w:ilvl="5" w:tplc="BED20374" w:tentative="1">
      <w:start w:val="1"/>
      <w:numFmt w:val="bullet"/>
      <w:lvlText w:val=""/>
      <w:lvlJc w:val="left"/>
      <w:pPr>
        <w:tabs>
          <w:tab w:val="num" w:pos="4320"/>
        </w:tabs>
        <w:ind w:left="4320" w:hanging="360"/>
      </w:pPr>
      <w:rPr>
        <w:rFonts w:ascii="Wingdings" w:hAnsi="Wingdings" w:hint="default"/>
      </w:rPr>
    </w:lvl>
    <w:lvl w:ilvl="6" w:tplc="BBD0A788" w:tentative="1">
      <w:start w:val="1"/>
      <w:numFmt w:val="bullet"/>
      <w:lvlText w:val=""/>
      <w:lvlJc w:val="left"/>
      <w:pPr>
        <w:tabs>
          <w:tab w:val="num" w:pos="5040"/>
        </w:tabs>
        <w:ind w:left="5040" w:hanging="360"/>
      </w:pPr>
      <w:rPr>
        <w:rFonts w:ascii="Wingdings" w:hAnsi="Wingdings" w:hint="default"/>
      </w:rPr>
    </w:lvl>
    <w:lvl w:ilvl="7" w:tplc="B80C4162" w:tentative="1">
      <w:start w:val="1"/>
      <w:numFmt w:val="bullet"/>
      <w:lvlText w:val=""/>
      <w:lvlJc w:val="left"/>
      <w:pPr>
        <w:tabs>
          <w:tab w:val="num" w:pos="5760"/>
        </w:tabs>
        <w:ind w:left="5760" w:hanging="360"/>
      </w:pPr>
      <w:rPr>
        <w:rFonts w:ascii="Wingdings" w:hAnsi="Wingdings" w:hint="default"/>
      </w:rPr>
    </w:lvl>
    <w:lvl w:ilvl="8" w:tplc="D5047D2E"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6"/>
  </w:num>
  <w:num w:numId="3">
    <w:abstractNumId w:val="9"/>
  </w:num>
  <w:num w:numId="4">
    <w:abstractNumId w:val="2"/>
  </w:num>
  <w:num w:numId="5">
    <w:abstractNumId w:val="12"/>
  </w:num>
  <w:num w:numId="6">
    <w:abstractNumId w:val="1"/>
  </w:num>
  <w:num w:numId="7">
    <w:abstractNumId w:val="8"/>
  </w:num>
  <w:num w:numId="8">
    <w:abstractNumId w:val="0"/>
  </w:num>
  <w:num w:numId="9">
    <w:abstractNumId w:val="11"/>
  </w:num>
  <w:num w:numId="10">
    <w:abstractNumId w:val="13"/>
  </w:num>
  <w:num w:numId="11">
    <w:abstractNumId w:val="7"/>
  </w:num>
  <w:num w:numId="12">
    <w:abstractNumId w:val="10"/>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173"/>
    <w:rsid w:val="00062066"/>
    <w:rsid w:val="000A1002"/>
    <w:rsid w:val="000A6AAA"/>
    <w:rsid w:val="000B4A03"/>
    <w:rsid w:val="000B630D"/>
    <w:rsid w:val="000C7ED5"/>
    <w:rsid w:val="000D17A7"/>
    <w:rsid w:val="000D59B6"/>
    <w:rsid w:val="000D674E"/>
    <w:rsid w:val="000E180C"/>
    <w:rsid w:val="000E3BE6"/>
    <w:rsid w:val="001051C6"/>
    <w:rsid w:val="00105FFD"/>
    <w:rsid w:val="00112101"/>
    <w:rsid w:val="00116AC8"/>
    <w:rsid w:val="00123EBD"/>
    <w:rsid w:val="00171BF2"/>
    <w:rsid w:val="001809DF"/>
    <w:rsid w:val="001A1AB8"/>
    <w:rsid w:val="001A573F"/>
    <w:rsid w:val="001C41BB"/>
    <w:rsid w:val="001D07F9"/>
    <w:rsid w:val="001E09F4"/>
    <w:rsid w:val="001E741B"/>
    <w:rsid w:val="002014F9"/>
    <w:rsid w:val="002046C8"/>
    <w:rsid w:val="0023162B"/>
    <w:rsid w:val="00290B5C"/>
    <w:rsid w:val="002A78A8"/>
    <w:rsid w:val="002D1D07"/>
    <w:rsid w:val="002E268C"/>
    <w:rsid w:val="002E7D25"/>
    <w:rsid w:val="00343283"/>
    <w:rsid w:val="003701BD"/>
    <w:rsid w:val="00392021"/>
    <w:rsid w:val="003C2353"/>
    <w:rsid w:val="00431969"/>
    <w:rsid w:val="004362F9"/>
    <w:rsid w:val="0047061C"/>
    <w:rsid w:val="004B7553"/>
    <w:rsid w:val="004E5AD9"/>
    <w:rsid w:val="004F2F35"/>
    <w:rsid w:val="00537C40"/>
    <w:rsid w:val="005426A2"/>
    <w:rsid w:val="00546061"/>
    <w:rsid w:val="00574B9D"/>
    <w:rsid w:val="00581844"/>
    <w:rsid w:val="005C21D7"/>
    <w:rsid w:val="005D724E"/>
    <w:rsid w:val="005F0B10"/>
    <w:rsid w:val="005F3B2D"/>
    <w:rsid w:val="00633F7B"/>
    <w:rsid w:val="00636E0D"/>
    <w:rsid w:val="006D2633"/>
    <w:rsid w:val="006F48C5"/>
    <w:rsid w:val="00707192"/>
    <w:rsid w:val="0076232E"/>
    <w:rsid w:val="007729C5"/>
    <w:rsid w:val="007840EE"/>
    <w:rsid w:val="007D7487"/>
    <w:rsid w:val="007E3272"/>
    <w:rsid w:val="007F441B"/>
    <w:rsid w:val="0082755C"/>
    <w:rsid w:val="00832F28"/>
    <w:rsid w:val="00867E9E"/>
    <w:rsid w:val="008734D1"/>
    <w:rsid w:val="00883738"/>
    <w:rsid w:val="008A1C2E"/>
    <w:rsid w:val="008C06F6"/>
    <w:rsid w:val="008D0C7B"/>
    <w:rsid w:val="00917E7F"/>
    <w:rsid w:val="009A0AE9"/>
    <w:rsid w:val="009A4D42"/>
    <w:rsid w:val="009B53C8"/>
    <w:rsid w:val="009C6F94"/>
    <w:rsid w:val="009E615E"/>
    <w:rsid w:val="009F4A18"/>
    <w:rsid w:val="00A06C97"/>
    <w:rsid w:val="00A44618"/>
    <w:rsid w:val="00A94482"/>
    <w:rsid w:val="00AB03B0"/>
    <w:rsid w:val="00AC1AE1"/>
    <w:rsid w:val="00AC54AF"/>
    <w:rsid w:val="00AF6EDA"/>
    <w:rsid w:val="00AF7C0C"/>
    <w:rsid w:val="00B06589"/>
    <w:rsid w:val="00B17187"/>
    <w:rsid w:val="00B20D1F"/>
    <w:rsid w:val="00B2352C"/>
    <w:rsid w:val="00B92CAE"/>
    <w:rsid w:val="00BA4A3B"/>
    <w:rsid w:val="00BE14CE"/>
    <w:rsid w:val="00BE1505"/>
    <w:rsid w:val="00C143DE"/>
    <w:rsid w:val="00C222F0"/>
    <w:rsid w:val="00C27150"/>
    <w:rsid w:val="00C37EFC"/>
    <w:rsid w:val="00C427A6"/>
    <w:rsid w:val="00C4725B"/>
    <w:rsid w:val="00C54D11"/>
    <w:rsid w:val="00C761A9"/>
    <w:rsid w:val="00C875CD"/>
    <w:rsid w:val="00CA1DE3"/>
    <w:rsid w:val="00CA30EC"/>
    <w:rsid w:val="00CA6A29"/>
    <w:rsid w:val="00CB73D5"/>
    <w:rsid w:val="00CC185C"/>
    <w:rsid w:val="00D61173"/>
    <w:rsid w:val="00D81B78"/>
    <w:rsid w:val="00DA46E3"/>
    <w:rsid w:val="00DD2760"/>
    <w:rsid w:val="00E01E99"/>
    <w:rsid w:val="00E47ADF"/>
    <w:rsid w:val="00EA4AFA"/>
    <w:rsid w:val="00ED10F2"/>
    <w:rsid w:val="00ED7E49"/>
    <w:rsid w:val="00EE3297"/>
    <w:rsid w:val="00EE7F1C"/>
    <w:rsid w:val="00F2542F"/>
    <w:rsid w:val="00F42CED"/>
    <w:rsid w:val="00FF0BA5"/>
    <w:rsid w:val="00FF69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3380CF8-F712-4CE6-AA6B-9A2A256A2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C1AE1"/>
    <w:pPr>
      <w:ind w:left="720"/>
      <w:contextualSpacing/>
    </w:pPr>
    <w:rPr>
      <w:rFonts w:ascii="Calibri" w:eastAsia="Calibri" w:hAnsi="Calibri" w:cs="Times New Roman"/>
    </w:rPr>
  </w:style>
  <w:style w:type="paragraph" w:styleId="Header">
    <w:name w:val="header"/>
    <w:basedOn w:val="Normal"/>
    <w:link w:val="HeaderChar"/>
    <w:uiPriority w:val="99"/>
    <w:unhideWhenUsed/>
    <w:rsid w:val="00CA30EC"/>
    <w:pPr>
      <w:tabs>
        <w:tab w:val="center" w:pos="4513"/>
        <w:tab w:val="right" w:pos="9026"/>
      </w:tabs>
      <w:spacing w:after="0" w:line="240" w:lineRule="auto"/>
    </w:pPr>
  </w:style>
  <w:style w:type="character" w:customStyle="1" w:styleId="HeaderChar">
    <w:name w:val="Header Char"/>
    <w:basedOn w:val="DefaultParagraphFont"/>
    <w:link w:val="Header"/>
    <w:uiPriority w:val="99"/>
    <w:rsid w:val="00CA30EC"/>
  </w:style>
  <w:style w:type="paragraph" w:styleId="Footer">
    <w:name w:val="footer"/>
    <w:basedOn w:val="Normal"/>
    <w:link w:val="FooterChar"/>
    <w:uiPriority w:val="99"/>
    <w:unhideWhenUsed/>
    <w:rsid w:val="00CA30EC"/>
    <w:pPr>
      <w:tabs>
        <w:tab w:val="center" w:pos="4513"/>
        <w:tab w:val="right" w:pos="9026"/>
      </w:tabs>
      <w:spacing w:after="0" w:line="240" w:lineRule="auto"/>
    </w:pPr>
  </w:style>
  <w:style w:type="character" w:customStyle="1" w:styleId="FooterChar">
    <w:name w:val="Footer Char"/>
    <w:basedOn w:val="DefaultParagraphFont"/>
    <w:link w:val="Footer"/>
    <w:uiPriority w:val="99"/>
    <w:rsid w:val="00CA30EC"/>
  </w:style>
  <w:style w:type="paragraph" w:styleId="Revision">
    <w:name w:val="Revision"/>
    <w:hidden/>
    <w:uiPriority w:val="99"/>
    <w:semiHidden/>
    <w:rsid w:val="00CA1DE3"/>
    <w:pPr>
      <w:spacing w:after="0" w:line="240" w:lineRule="auto"/>
    </w:pPr>
  </w:style>
  <w:style w:type="character" w:styleId="CommentReference">
    <w:name w:val="annotation reference"/>
    <w:basedOn w:val="DefaultParagraphFont"/>
    <w:uiPriority w:val="99"/>
    <w:semiHidden/>
    <w:unhideWhenUsed/>
    <w:rsid w:val="003C2353"/>
    <w:rPr>
      <w:sz w:val="16"/>
      <w:szCs w:val="16"/>
    </w:rPr>
  </w:style>
  <w:style w:type="paragraph" w:styleId="CommentText">
    <w:name w:val="annotation text"/>
    <w:basedOn w:val="Normal"/>
    <w:link w:val="CommentTextChar"/>
    <w:uiPriority w:val="99"/>
    <w:unhideWhenUsed/>
    <w:rsid w:val="003C2353"/>
    <w:pPr>
      <w:spacing w:line="240" w:lineRule="auto"/>
    </w:pPr>
    <w:rPr>
      <w:sz w:val="20"/>
      <w:szCs w:val="20"/>
    </w:rPr>
  </w:style>
  <w:style w:type="character" w:customStyle="1" w:styleId="CommentTextChar">
    <w:name w:val="Comment Text Char"/>
    <w:basedOn w:val="DefaultParagraphFont"/>
    <w:link w:val="CommentText"/>
    <w:uiPriority w:val="99"/>
    <w:rsid w:val="003C2353"/>
    <w:rPr>
      <w:sz w:val="20"/>
      <w:szCs w:val="20"/>
    </w:rPr>
  </w:style>
  <w:style w:type="paragraph" w:styleId="CommentSubject">
    <w:name w:val="annotation subject"/>
    <w:basedOn w:val="CommentText"/>
    <w:next w:val="CommentText"/>
    <w:link w:val="CommentSubjectChar"/>
    <w:uiPriority w:val="99"/>
    <w:semiHidden/>
    <w:unhideWhenUsed/>
    <w:rsid w:val="003C2353"/>
    <w:rPr>
      <w:b/>
      <w:bCs/>
    </w:rPr>
  </w:style>
  <w:style w:type="character" w:customStyle="1" w:styleId="CommentSubjectChar">
    <w:name w:val="Comment Subject Char"/>
    <w:basedOn w:val="CommentTextChar"/>
    <w:link w:val="CommentSubject"/>
    <w:uiPriority w:val="99"/>
    <w:semiHidden/>
    <w:rsid w:val="003C2353"/>
    <w:rPr>
      <w:b/>
      <w:bCs/>
      <w:sz w:val="20"/>
      <w:szCs w:val="20"/>
    </w:rPr>
  </w:style>
  <w:style w:type="paragraph" w:styleId="BalloonText">
    <w:name w:val="Balloon Text"/>
    <w:basedOn w:val="Normal"/>
    <w:link w:val="BalloonTextChar"/>
    <w:uiPriority w:val="99"/>
    <w:semiHidden/>
    <w:unhideWhenUsed/>
    <w:rsid w:val="000D17A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D17A7"/>
    <w:rPr>
      <w:rFonts w:ascii="Segoe UI" w:hAnsi="Segoe UI" w:cs="Segoe UI"/>
      <w:sz w:val="18"/>
      <w:szCs w:val="18"/>
    </w:rPr>
  </w:style>
  <w:style w:type="character" w:styleId="Hyperlink">
    <w:name w:val="Hyperlink"/>
    <w:basedOn w:val="DefaultParagraphFont"/>
    <w:uiPriority w:val="99"/>
    <w:unhideWhenUsed/>
    <w:rsid w:val="00832F2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703814">
      <w:bodyDiv w:val="1"/>
      <w:marLeft w:val="0"/>
      <w:marRight w:val="0"/>
      <w:marTop w:val="0"/>
      <w:marBottom w:val="0"/>
      <w:divBdr>
        <w:top w:val="none" w:sz="0" w:space="0" w:color="auto"/>
        <w:left w:val="none" w:sz="0" w:space="0" w:color="auto"/>
        <w:bottom w:val="none" w:sz="0" w:space="0" w:color="auto"/>
        <w:right w:val="none" w:sz="0" w:space="0" w:color="auto"/>
      </w:divBdr>
    </w:div>
    <w:div w:id="97413811">
      <w:bodyDiv w:val="1"/>
      <w:marLeft w:val="0"/>
      <w:marRight w:val="0"/>
      <w:marTop w:val="0"/>
      <w:marBottom w:val="0"/>
      <w:divBdr>
        <w:top w:val="none" w:sz="0" w:space="0" w:color="auto"/>
        <w:left w:val="none" w:sz="0" w:space="0" w:color="auto"/>
        <w:bottom w:val="none" w:sz="0" w:space="0" w:color="auto"/>
        <w:right w:val="none" w:sz="0" w:space="0" w:color="auto"/>
      </w:divBdr>
    </w:div>
    <w:div w:id="290869880">
      <w:bodyDiv w:val="1"/>
      <w:marLeft w:val="0"/>
      <w:marRight w:val="0"/>
      <w:marTop w:val="0"/>
      <w:marBottom w:val="0"/>
      <w:divBdr>
        <w:top w:val="none" w:sz="0" w:space="0" w:color="auto"/>
        <w:left w:val="none" w:sz="0" w:space="0" w:color="auto"/>
        <w:bottom w:val="none" w:sz="0" w:space="0" w:color="auto"/>
        <w:right w:val="none" w:sz="0" w:space="0" w:color="auto"/>
      </w:divBdr>
      <w:divsChild>
        <w:div w:id="1396322089">
          <w:marLeft w:val="562"/>
          <w:marRight w:val="0"/>
          <w:marTop w:val="200"/>
          <w:marBottom w:val="0"/>
          <w:divBdr>
            <w:top w:val="none" w:sz="0" w:space="0" w:color="auto"/>
            <w:left w:val="none" w:sz="0" w:space="0" w:color="auto"/>
            <w:bottom w:val="none" w:sz="0" w:space="0" w:color="auto"/>
            <w:right w:val="none" w:sz="0" w:space="0" w:color="auto"/>
          </w:divBdr>
        </w:div>
        <w:div w:id="2125155205">
          <w:marLeft w:val="562"/>
          <w:marRight w:val="0"/>
          <w:marTop w:val="200"/>
          <w:marBottom w:val="0"/>
          <w:divBdr>
            <w:top w:val="none" w:sz="0" w:space="0" w:color="auto"/>
            <w:left w:val="none" w:sz="0" w:space="0" w:color="auto"/>
            <w:bottom w:val="none" w:sz="0" w:space="0" w:color="auto"/>
            <w:right w:val="none" w:sz="0" w:space="0" w:color="auto"/>
          </w:divBdr>
        </w:div>
        <w:div w:id="1051460873">
          <w:marLeft w:val="562"/>
          <w:marRight w:val="0"/>
          <w:marTop w:val="200"/>
          <w:marBottom w:val="0"/>
          <w:divBdr>
            <w:top w:val="none" w:sz="0" w:space="0" w:color="auto"/>
            <w:left w:val="none" w:sz="0" w:space="0" w:color="auto"/>
            <w:bottom w:val="none" w:sz="0" w:space="0" w:color="auto"/>
            <w:right w:val="none" w:sz="0" w:space="0" w:color="auto"/>
          </w:divBdr>
        </w:div>
        <w:div w:id="1294557735">
          <w:marLeft w:val="562"/>
          <w:marRight w:val="0"/>
          <w:marTop w:val="200"/>
          <w:marBottom w:val="0"/>
          <w:divBdr>
            <w:top w:val="none" w:sz="0" w:space="0" w:color="auto"/>
            <w:left w:val="none" w:sz="0" w:space="0" w:color="auto"/>
            <w:bottom w:val="none" w:sz="0" w:space="0" w:color="auto"/>
            <w:right w:val="none" w:sz="0" w:space="0" w:color="auto"/>
          </w:divBdr>
        </w:div>
        <w:div w:id="170724273">
          <w:marLeft w:val="562"/>
          <w:marRight w:val="0"/>
          <w:marTop w:val="200"/>
          <w:marBottom w:val="0"/>
          <w:divBdr>
            <w:top w:val="none" w:sz="0" w:space="0" w:color="auto"/>
            <w:left w:val="none" w:sz="0" w:space="0" w:color="auto"/>
            <w:bottom w:val="none" w:sz="0" w:space="0" w:color="auto"/>
            <w:right w:val="none" w:sz="0" w:space="0" w:color="auto"/>
          </w:divBdr>
        </w:div>
        <w:div w:id="458105745">
          <w:marLeft w:val="562"/>
          <w:marRight w:val="0"/>
          <w:marTop w:val="200"/>
          <w:marBottom w:val="0"/>
          <w:divBdr>
            <w:top w:val="none" w:sz="0" w:space="0" w:color="auto"/>
            <w:left w:val="none" w:sz="0" w:space="0" w:color="auto"/>
            <w:bottom w:val="none" w:sz="0" w:space="0" w:color="auto"/>
            <w:right w:val="none" w:sz="0" w:space="0" w:color="auto"/>
          </w:divBdr>
        </w:div>
        <w:div w:id="599678474">
          <w:marLeft w:val="562"/>
          <w:marRight w:val="0"/>
          <w:marTop w:val="200"/>
          <w:marBottom w:val="0"/>
          <w:divBdr>
            <w:top w:val="none" w:sz="0" w:space="0" w:color="auto"/>
            <w:left w:val="none" w:sz="0" w:space="0" w:color="auto"/>
            <w:bottom w:val="none" w:sz="0" w:space="0" w:color="auto"/>
            <w:right w:val="none" w:sz="0" w:space="0" w:color="auto"/>
          </w:divBdr>
        </w:div>
        <w:div w:id="847868700">
          <w:marLeft w:val="562"/>
          <w:marRight w:val="0"/>
          <w:marTop w:val="200"/>
          <w:marBottom w:val="0"/>
          <w:divBdr>
            <w:top w:val="none" w:sz="0" w:space="0" w:color="auto"/>
            <w:left w:val="none" w:sz="0" w:space="0" w:color="auto"/>
            <w:bottom w:val="none" w:sz="0" w:space="0" w:color="auto"/>
            <w:right w:val="none" w:sz="0" w:space="0" w:color="auto"/>
          </w:divBdr>
        </w:div>
        <w:div w:id="991055768">
          <w:marLeft w:val="562"/>
          <w:marRight w:val="0"/>
          <w:marTop w:val="200"/>
          <w:marBottom w:val="0"/>
          <w:divBdr>
            <w:top w:val="none" w:sz="0" w:space="0" w:color="auto"/>
            <w:left w:val="none" w:sz="0" w:space="0" w:color="auto"/>
            <w:bottom w:val="none" w:sz="0" w:space="0" w:color="auto"/>
            <w:right w:val="none" w:sz="0" w:space="0" w:color="auto"/>
          </w:divBdr>
        </w:div>
        <w:div w:id="390420938">
          <w:marLeft w:val="562"/>
          <w:marRight w:val="0"/>
          <w:marTop w:val="200"/>
          <w:marBottom w:val="0"/>
          <w:divBdr>
            <w:top w:val="none" w:sz="0" w:space="0" w:color="auto"/>
            <w:left w:val="none" w:sz="0" w:space="0" w:color="auto"/>
            <w:bottom w:val="none" w:sz="0" w:space="0" w:color="auto"/>
            <w:right w:val="none" w:sz="0" w:space="0" w:color="auto"/>
          </w:divBdr>
        </w:div>
        <w:div w:id="867521556">
          <w:marLeft w:val="562"/>
          <w:marRight w:val="0"/>
          <w:marTop w:val="200"/>
          <w:marBottom w:val="0"/>
          <w:divBdr>
            <w:top w:val="none" w:sz="0" w:space="0" w:color="auto"/>
            <w:left w:val="none" w:sz="0" w:space="0" w:color="auto"/>
            <w:bottom w:val="none" w:sz="0" w:space="0" w:color="auto"/>
            <w:right w:val="none" w:sz="0" w:space="0" w:color="auto"/>
          </w:divBdr>
        </w:div>
        <w:div w:id="921135736">
          <w:marLeft w:val="562"/>
          <w:marRight w:val="0"/>
          <w:marTop w:val="200"/>
          <w:marBottom w:val="0"/>
          <w:divBdr>
            <w:top w:val="none" w:sz="0" w:space="0" w:color="auto"/>
            <w:left w:val="none" w:sz="0" w:space="0" w:color="auto"/>
            <w:bottom w:val="none" w:sz="0" w:space="0" w:color="auto"/>
            <w:right w:val="none" w:sz="0" w:space="0" w:color="auto"/>
          </w:divBdr>
        </w:div>
        <w:div w:id="2038506128">
          <w:marLeft w:val="562"/>
          <w:marRight w:val="0"/>
          <w:marTop w:val="200"/>
          <w:marBottom w:val="0"/>
          <w:divBdr>
            <w:top w:val="none" w:sz="0" w:space="0" w:color="auto"/>
            <w:left w:val="none" w:sz="0" w:space="0" w:color="auto"/>
            <w:bottom w:val="none" w:sz="0" w:space="0" w:color="auto"/>
            <w:right w:val="none" w:sz="0" w:space="0" w:color="auto"/>
          </w:divBdr>
        </w:div>
        <w:div w:id="814835979">
          <w:marLeft w:val="562"/>
          <w:marRight w:val="0"/>
          <w:marTop w:val="200"/>
          <w:marBottom w:val="0"/>
          <w:divBdr>
            <w:top w:val="none" w:sz="0" w:space="0" w:color="auto"/>
            <w:left w:val="none" w:sz="0" w:space="0" w:color="auto"/>
            <w:bottom w:val="none" w:sz="0" w:space="0" w:color="auto"/>
            <w:right w:val="none" w:sz="0" w:space="0" w:color="auto"/>
          </w:divBdr>
        </w:div>
        <w:div w:id="701977437">
          <w:marLeft w:val="562"/>
          <w:marRight w:val="0"/>
          <w:marTop w:val="200"/>
          <w:marBottom w:val="0"/>
          <w:divBdr>
            <w:top w:val="none" w:sz="0" w:space="0" w:color="auto"/>
            <w:left w:val="none" w:sz="0" w:space="0" w:color="auto"/>
            <w:bottom w:val="none" w:sz="0" w:space="0" w:color="auto"/>
            <w:right w:val="none" w:sz="0" w:space="0" w:color="auto"/>
          </w:divBdr>
        </w:div>
        <w:div w:id="1601404669">
          <w:marLeft w:val="562"/>
          <w:marRight w:val="0"/>
          <w:marTop w:val="200"/>
          <w:marBottom w:val="0"/>
          <w:divBdr>
            <w:top w:val="none" w:sz="0" w:space="0" w:color="auto"/>
            <w:left w:val="none" w:sz="0" w:space="0" w:color="auto"/>
            <w:bottom w:val="none" w:sz="0" w:space="0" w:color="auto"/>
            <w:right w:val="none" w:sz="0" w:space="0" w:color="auto"/>
          </w:divBdr>
        </w:div>
        <w:div w:id="1263100212">
          <w:marLeft w:val="562"/>
          <w:marRight w:val="0"/>
          <w:marTop w:val="200"/>
          <w:marBottom w:val="0"/>
          <w:divBdr>
            <w:top w:val="none" w:sz="0" w:space="0" w:color="auto"/>
            <w:left w:val="none" w:sz="0" w:space="0" w:color="auto"/>
            <w:bottom w:val="none" w:sz="0" w:space="0" w:color="auto"/>
            <w:right w:val="none" w:sz="0" w:space="0" w:color="auto"/>
          </w:divBdr>
        </w:div>
        <w:div w:id="516428892">
          <w:marLeft w:val="562"/>
          <w:marRight w:val="0"/>
          <w:marTop w:val="200"/>
          <w:marBottom w:val="0"/>
          <w:divBdr>
            <w:top w:val="none" w:sz="0" w:space="0" w:color="auto"/>
            <w:left w:val="none" w:sz="0" w:space="0" w:color="auto"/>
            <w:bottom w:val="none" w:sz="0" w:space="0" w:color="auto"/>
            <w:right w:val="none" w:sz="0" w:space="0" w:color="auto"/>
          </w:divBdr>
        </w:div>
        <w:div w:id="1987586301">
          <w:marLeft w:val="562"/>
          <w:marRight w:val="0"/>
          <w:marTop w:val="200"/>
          <w:marBottom w:val="0"/>
          <w:divBdr>
            <w:top w:val="none" w:sz="0" w:space="0" w:color="auto"/>
            <w:left w:val="none" w:sz="0" w:space="0" w:color="auto"/>
            <w:bottom w:val="none" w:sz="0" w:space="0" w:color="auto"/>
            <w:right w:val="none" w:sz="0" w:space="0" w:color="auto"/>
          </w:divBdr>
        </w:div>
        <w:div w:id="539434350">
          <w:marLeft w:val="562"/>
          <w:marRight w:val="0"/>
          <w:marTop w:val="200"/>
          <w:marBottom w:val="0"/>
          <w:divBdr>
            <w:top w:val="none" w:sz="0" w:space="0" w:color="auto"/>
            <w:left w:val="none" w:sz="0" w:space="0" w:color="auto"/>
            <w:bottom w:val="none" w:sz="0" w:space="0" w:color="auto"/>
            <w:right w:val="none" w:sz="0" w:space="0" w:color="auto"/>
          </w:divBdr>
        </w:div>
      </w:divsChild>
    </w:div>
    <w:div w:id="362443053">
      <w:bodyDiv w:val="1"/>
      <w:marLeft w:val="0"/>
      <w:marRight w:val="0"/>
      <w:marTop w:val="0"/>
      <w:marBottom w:val="0"/>
      <w:divBdr>
        <w:top w:val="none" w:sz="0" w:space="0" w:color="auto"/>
        <w:left w:val="none" w:sz="0" w:space="0" w:color="auto"/>
        <w:bottom w:val="none" w:sz="0" w:space="0" w:color="auto"/>
        <w:right w:val="none" w:sz="0" w:space="0" w:color="auto"/>
      </w:divBdr>
    </w:div>
    <w:div w:id="404569418">
      <w:bodyDiv w:val="1"/>
      <w:marLeft w:val="0"/>
      <w:marRight w:val="0"/>
      <w:marTop w:val="0"/>
      <w:marBottom w:val="0"/>
      <w:divBdr>
        <w:top w:val="none" w:sz="0" w:space="0" w:color="auto"/>
        <w:left w:val="none" w:sz="0" w:space="0" w:color="auto"/>
        <w:bottom w:val="none" w:sz="0" w:space="0" w:color="auto"/>
        <w:right w:val="none" w:sz="0" w:space="0" w:color="auto"/>
      </w:divBdr>
    </w:div>
    <w:div w:id="525944096">
      <w:bodyDiv w:val="1"/>
      <w:marLeft w:val="0"/>
      <w:marRight w:val="0"/>
      <w:marTop w:val="0"/>
      <w:marBottom w:val="0"/>
      <w:divBdr>
        <w:top w:val="none" w:sz="0" w:space="0" w:color="auto"/>
        <w:left w:val="none" w:sz="0" w:space="0" w:color="auto"/>
        <w:bottom w:val="none" w:sz="0" w:space="0" w:color="auto"/>
        <w:right w:val="none" w:sz="0" w:space="0" w:color="auto"/>
      </w:divBdr>
    </w:div>
    <w:div w:id="701710483">
      <w:bodyDiv w:val="1"/>
      <w:marLeft w:val="0"/>
      <w:marRight w:val="0"/>
      <w:marTop w:val="0"/>
      <w:marBottom w:val="0"/>
      <w:divBdr>
        <w:top w:val="none" w:sz="0" w:space="0" w:color="auto"/>
        <w:left w:val="none" w:sz="0" w:space="0" w:color="auto"/>
        <w:bottom w:val="none" w:sz="0" w:space="0" w:color="auto"/>
        <w:right w:val="none" w:sz="0" w:space="0" w:color="auto"/>
      </w:divBdr>
    </w:div>
    <w:div w:id="803036116">
      <w:bodyDiv w:val="1"/>
      <w:marLeft w:val="0"/>
      <w:marRight w:val="0"/>
      <w:marTop w:val="0"/>
      <w:marBottom w:val="0"/>
      <w:divBdr>
        <w:top w:val="none" w:sz="0" w:space="0" w:color="auto"/>
        <w:left w:val="none" w:sz="0" w:space="0" w:color="auto"/>
        <w:bottom w:val="none" w:sz="0" w:space="0" w:color="auto"/>
        <w:right w:val="none" w:sz="0" w:space="0" w:color="auto"/>
      </w:divBdr>
    </w:div>
    <w:div w:id="846865244">
      <w:bodyDiv w:val="1"/>
      <w:marLeft w:val="0"/>
      <w:marRight w:val="0"/>
      <w:marTop w:val="0"/>
      <w:marBottom w:val="0"/>
      <w:divBdr>
        <w:top w:val="none" w:sz="0" w:space="0" w:color="auto"/>
        <w:left w:val="none" w:sz="0" w:space="0" w:color="auto"/>
        <w:bottom w:val="none" w:sz="0" w:space="0" w:color="auto"/>
        <w:right w:val="none" w:sz="0" w:space="0" w:color="auto"/>
      </w:divBdr>
    </w:div>
    <w:div w:id="1033384938">
      <w:bodyDiv w:val="1"/>
      <w:marLeft w:val="0"/>
      <w:marRight w:val="0"/>
      <w:marTop w:val="0"/>
      <w:marBottom w:val="0"/>
      <w:divBdr>
        <w:top w:val="none" w:sz="0" w:space="0" w:color="auto"/>
        <w:left w:val="none" w:sz="0" w:space="0" w:color="auto"/>
        <w:bottom w:val="none" w:sz="0" w:space="0" w:color="auto"/>
        <w:right w:val="none" w:sz="0" w:space="0" w:color="auto"/>
      </w:divBdr>
    </w:div>
    <w:div w:id="1051273032">
      <w:bodyDiv w:val="1"/>
      <w:marLeft w:val="0"/>
      <w:marRight w:val="0"/>
      <w:marTop w:val="0"/>
      <w:marBottom w:val="0"/>
      <w:divBdr>
        <w:top w:val="none" w:sz="0" w:space="0" w:color="auto"/>
        <w:left w:val="none" w:sz="0" w:space="0" w:color="auto"/>
        <w:bottom w:val="none" w:sz="0" w:space="0" w:color="auto"/>
        <w:right w:val="none" w:sz="0" w:space="0" w:color="auto"/>
      </w:divBdr>
    </w:div>
    <w:div w:id="1254241317">
      <w:bodyDiv w:val="1"/>
      <w:marLeft w:val="0"/>
      <w:marRight w:val="0"/>
      <w:marTop w:val="0"/>
      <w:marBottom w:val="0"/>
      <w:divBdr>
        <w:top w:val="none" w:sz="0" w:space="0" w:color="auto"/>
        <w:left w:val="none" w:sz="0" w:space="0" w:color="auto"/>
        <w:bottom w:val="none" w:sz="0" w:space="0" w:color="auto"/>
        <w:right w:val="none" w:sz="0" w:space="0" w:color="auto"/>
      </w:divBdr>
    </w:div>
    <w:div w:id="1480151453">
      <w:bodyDiv w:val="1"/>
      <w:marLeft w:val="0"/>
      <w:marRight w:val="0"/>
      <w:marTop w:val="0"/>
      <w:marBottom w:val="0"/>
      <w:divBdr>
        <w:top w:val="none" w:sz="0" w:space="0" w:color="auto"/>
        <w:left w:val="none" w:sz="0" w:space="0" w:color="auto"/>
        <w:bottom w:val="none" w:sz="0" w:space="0" w:color="auto"/>
        <w:right w:val="none" w:sz="0" w:space="0" w:color="auto"/>
      </w:divBdr>
    </w:div>
    <w:div w:id="1491406068">
      <w:bodyDiv w:val="1"/>
      <w:marLeft w:val="0"/>
      <w:marRight w:val="0"/>
      <w:marTop w:val="0"/>
      <w:marBottom w:val="0"/>
      <w:divBdr>
        <w:top w:val="none" w:sz="0" w:space="0" w:color="auto"/>
        <w:left w:val="none" w:sz="0" w:space="0" w:color="auto"/>
        <w:bottom w:val="none" w:sz="0" w:space="0" w:color="auto"/>
        <w:right w:val="none" w:sz="0" w:space="0" w:color="auto"/>
      </w:divBdr>
      <w:divsChild>
        <w:div w:id="939341062">
          <w:marLeft w:val="446"/>
          <w:marRight w:val="0"/>
          <w:marTop w:val="120"/>
          <w:marBottom w:val="0"/>
          <w:divBdr>
            <w:top w:val="none" w:sz="0" w:space="0" w:color="auto"/>
            <w:left w:val="none" w:sz="0" w:space="0" w:color="auto"/>
            <w:bottom w:val="none" w:sz="0" w:space="0" w:color="auto"/>
            <w:right w:val="none" w:sz="0" w:space="0" w:color="auto"/>
          </w:divBdr>
        </w:div>
        <w:div w:id="1656882477">
          <w:marLeft w:val="446"/>
          <w:marRight w:val="0"/>
          <w:marTop w:val="120"/>
          <w:marBottom w:val="0"/>
          <w:divBdr>
            <w:top w:val="none" w:sz="0" w:space="0" w:color="auto"/>
            <w:left w:val="none" w:sz="0" w:space="0" w:color="auto"/>
            <w:bottom w:val="none" w:sz="0" w:space="0" w:color="auto"/>
            <w:right w:val="none" w:sz="0" w:space="0" w:color="auto"/>
          </w:divBdr>
        </w:div>
        <w:div w:id="1317687624">
          <w:marLeft w:val="446"/>
          <w:marRight w:val="0"/>
          <w:marTop w:val="120"/>
          <w:marBottom w:val="0"/>
          <w:divBdr>
            <w:top w:val="none" w:sz="0" w:space="0" w:color="auto"/>
            <w:left w:val="none" w:sz="0" w:space="0" w:color="auto"/>
            <w:bottom w:val="none" w:sz="0" w:space="0" w:color="auto"/>
            <w:right w:val="none" w:sz="0" w:space="0" w:color="auto"/>
          </w:divBdr>
        </w:div>
        <w:div w:id="967474721">
          <w:marLeft w:val="446"/>
          <w:marRight w:val="0"/>
          <w:marTop w:val="120"/>
          <w:marBottom w:val="0"/>
          <w:divBdr>
            <w:top w:val="none" w:sz="0" w:space="0" w:color="auto"/>
            <w:left w:val="none" w:sz="0" w:space="0" w:color="auto"/>
            <w:bottom w:val="none" w:sz="0" w:space="0" w:color="auto"/>
            <w:right w:val="none" w:sz="0" w:space="0" w:color="auto"/>
          </w:divBdr>
        </w:div>
        <w:div w:id="257494516">
          <w:marLeft w:val="446"/>
          <w:marRight w:val="0"/>
          <w:marTop w:val="120"/>
          <w:marBottom w:val="0"/>
          <w:divBdr>
            <w:top w:val="none" w:sz="0" w:space="0" w:color="auto"/>
            <w:left w:val="none" w:sz="0" w:space="0" w:color="auto"/>
            <w:bottom w:val="none" w:sz="0" w:space="0" w:color="auto"/>
            <w:right w:val="none" w:sz="0" w:space="0" w:color="auto"/>
          </w:divBdr>
        </w:div>
        <w:div w:id="1535344236">
          <w:marLeft w:val="446"/>
          <w:marRight w:val="0"/>
          <w:marTop w:val="120"/>
          <w:marBottom w:val="0"/>
          <w:divBdr>
            <w:top w:val="none" w:sz="0" w:space="0" w:color="auto"/>
            <w:left w:val="none" w:sz="0" w:space="0" w:color="auto"/>
            <w:bottom w:val="none" w:sz="0" w:space="0" w:color="auto"/>
            <w:right w:val="none" w:sz="0" w:space="0" w:color="auto"/>
          </w:divBdr>
        </w:div>
        <w:div w:id="1221480273">
          <w:marLeft w:val="446"/>
          <w:marRight w:val="0"/>
          <w:marTop w:val="120"/>
          <w:marBottom w:val="0"/>
          <w:divBdr>
            <w:top w:val="none" w:sz="0" w:space="0" w:color="auto"/>
            <w:left w:val="none" w:sz="0" w:space="0" w:color="auto"/>
            <w:bottom w:val="none" w:sz="0" w:space="0" w:color="auto"/>
            <w:right w:val="none" w:sz="0" w:space="0" w:color="auto"/>
          </w:divBdr>
        </w:div>
        <w:div w:id="820467331">
          <w:marLeft w:val="446"/>
          <w:marRight w:val="0"/>
          <w:marTop w:val="120"/>
          <w:marBottom w:val="0"/>
          <w:divBdr>
            <w:top w:val="none" w:sz="0" w:space="0" w:color="auto"/>
            <w:left w:val="none" w:sz="0" w:space="0" w:color="auto"/>
            <w:bottom w:val="none" w:sz="0" w:space="0" w:color="auto"/>
            <w:right w:val="none" w:sz="0" w:space="0" w:color="auto"/>
          </w:divBdr>
        </w:div>
        <w:div w:id="2009750307">
          <w:marLeft w:val="446"/>
          <w:marRight w:val="0"/>
          <w:marTop w:val="120"/>
          <w:marBottom w:val="0"/>
          <w:divBdr>
            <w:top w:val="none" w:sz="0" w:space="0" w:color="auto"/>
            <w:left w:val="none" w:sz="0" w:space="0" w:color="auto"/>
            <w:bottom w:val="none" w:sz="0" w:space="0" w:color="auto"/>
            <w:right w:val="none" w:sz="0" w:space="0" w:color="auto"/>
          </w:divBdr>
        </w:div>
        <w:div w:id="701397106">
          <w:marLeft w:val="446"/>
          <w:marRight w:val="0"/>
          <w:marTop w:val="120"/>
          <w:marBottom w:val="0"/>
          <w:divBdr>
            <w:top w:val="none" w:sz="0" w:space="0" w:color="auto"/>
            <w:left w:val="none" w:sz="0" w:space="0" w:color="auto"/>
            <w:bottom w:val="none" w:sz="0" w:space="0" w:color="auto"/>
            <w:right w:val="none" w:sz="0" w:space="0" w:color="auto"/>
          </w:divBdr>
        </w:div>
      </w:divsChild>
    </w:div>
    <w:div w:id="1499269061">
      <w:bodyDiv w:val="1"/>
      <w:marLeft w:val="0"/>
      <w:marRight w:val="0"/>
      <w:marTop w:val="0"/>
      <w:marBottom w:val="0"/>
      <w:divBdr>
        <w:top w:val="none" w:sz="0" w:space="0" w:color="auto"/>
        <w:left w:val="none" w:sz="0" w:space="0" w:color="auto"/>
        <w:bottom w:val="none" w:sz="0" w:space="0" w:color="auto"/>
        <w:right w:val="none" w:sz="0" w:space="0" w:color="auto"/>
      </w:divBdr>
    </w:div>
    <w:div w:id="1671636342">
      <w:bodyDiv w:val="1"/>
      <w:marLeft w:val="0"/>
      <w:marRight w:val="0"/>
      <w:marTop w:val="0"/>
      <w:marBottom w:val="0"/>
      <w:divBdr>
        <w:top w:val="none" w:sz="0" w:space="0" w:color="auto"/>
        <w:left w:val="none" w:sz="0" w:space="0" w:color="auto"/>
        <w:bottom w:val="none" w:sz="0" w:space="0" w:color="auto"/>
        <w:right w:val="none" w:sz="0" w:space="0" w:color="auto"/>
      </w:divBdr>
    </w:div>
    <w:div w:id="1759280121">
      <w:bodyDiv w:val="1"/>
      <w:marLeft w:val="0"/>
      <w:marRight w:val="0"/>
      <w:marTop w:val="0"/>
      <w:marBottom w:val="0"/>
      <w:divBdr>
        <w:top w:val="none" w:sz="0" w:space="0" w:color="auto"/>
        <w:left w:val="none" w:sz="0" w:space="0" w:color="auto"/>
        <w:bottom w:val="none" w:sz="0" w:space="0" w:color="auto"/>
        <w:right w:val="none" w:sz="0" w:space="0" w:color="auto"/>
      </w:divBdr>
    </w:div>
    <w:div w:id="1971398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ecare.wales/" TargetMode="External"/><Relationship Id="rId18" Type="http://schemas.openxmlformats.org/officeDocument/2006/relationships/hyperlink" Target="https://urlsand.esvalabs.com/?u=https://elinkeu.clickdimensions.com/c/7/eyJhaSI6ODk1NDU2MTMsImUiOiJzYXJhaC5tY2NhcnR5QGNjd2FsZXMub3JnLnVrIiwicmkiOiJsZWFkLTU0YWZiNTIxNzI1NGU4MTE4MTI0NzAxMDZmYWFjYmExLTE4ZGVkYTU2MGU4YjQ2NWFhYTcwNzQ3YWUyMDA5YWY3IiwicnEiOiJwMS1iMjMwMDktZmYwN2UyYjQ5MGFlNDAyOGI1M2Y1N2RjNGI4YWNjM2QiLCJwaCI6bnVsbCwibSI6ZmFsc2UsInVpIjoiMzEiLCJ1biI6IkNhcmVycyIsInUiOiJodHRwczovL3d3dy5nb3Yud2FsZXMvd29ya2luZy1zb2NpYWwtY2FyZS13YWxlcy1ndWlkYW5jZS1mb3JlaWduLW5hdGlvbmFscz9fY2xkZWU9QWNpTEtXVVM0STJjX2hCLVM0cDFzbl9udTIwcFZKcy1zUE5DN0k2SFo5QU9PeU1ON0JOZTFuN196LXkxckVLdyZyZWNpcGllbnRpZD1sZWFkLTU0YWZiNTIxNzI1NGU4MTE4MTI0NzAxMDZmYWFjYmExLTE4ZGVkYTU2MGU4YjQ2NWFhYTcwNzQ3YWUyMDA5YWY3JmVzaWQ9OTE1MDMyMTAtMTY5MC1lZDExLWFhZDEtMDAyMjQ4MWI1NmQxIn0/qQ5yDw0PZpRbjGu8c4XuXw&amp;e=c3e089a1&amp;h=1165d9c4&amp;f=y&amp;p=n" TargetMode="External"/><Relationship Id="rId26" Type="http://schemas.openxmlformats.org/officeDocument/2006/relationships/hyperlink" Target="https://urlsand.esvalabs.com/?u=https://heiw.nhs.wales/transformation/workforce-development/practicing-appropriate-delegation/&amp;e=c3e089a1&amp;h=adb2d964&amp;f=y&amp;p=n" TargetMode="External"/><Relationship Id="rId39" Type="http://schemas.openxmlformats.org/officeDocument/2006/relationships/footer" Target="footer1.xml"/><Relationship Id="rId21" Type="http://schemas.openxmlformats.org/officeDocument/2006/relationships/hyperlink" Target="https://gov.wales/social-care-fair-work-forum" TargetMode="External"/><Relationship Id="rId34" Type="http://schemas.openxmlformats.org/officeDocument/2006/relationships/image" Target="media/image6.png"/><Relationship Id="rId42" Type="http://schemas.microsoft.com/office/2016/09/relationships/commentsIds" Target="commentsIds.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info@socialcare.wales" TargetMode="External"/><Relationship Id="rId20" Type="http://schemas.openxmlformats.org/officeDocument/2006/relationships/hyperlink" Target="https://socialcare.wales/registration" TargetMode="External"/><Relationship Id="rId29" Type="http://schemas.openxmlformats.org/officeDocument/2006/relationships/hyperlink" Target="https://www.agored.cymru/Units-and-Qualifications/Qualification/127924"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hyperlink" Target="https://heiw.nhs.wales/transformation/workforce-development/improved-clinical-decision-making-icdm/" TargetMode="External"/><Relationship Id="rId32" Type="http://schemas.openxmlformats.org/officeDocument/2006/relationships/hyperlink" Target="https://www.agored.cymru/Units-and-Qualifications/Qualification/127858" TargetMode="External"/><Relationship Id="rId37" Type="http://schemas.openxmlformats.org/officeDocument/2006/relationships/image" Target="media/image9.emf"/><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ecare.wales/introductiontosocialcare/" TargetMode="External"/><Relationship Id="rId23" Type="http://schemas.openxmlformats.org/officeDocument/2006/relationships/hyperlink" Target="https://socialcare.wales/resources-guidance/health-and-well-being-resources" TargetMode="External"/><Relationship Id="rId28" Type="http://schemas.openxmlformats.org/officeDocument/2006/relationships/hyperlink" Target="https://learning.nhs.wales/course/view.php?id=48" TargetMode="External"/><Relationship Id="rId36" Type="http://schemas.openxmlformats.org/officeDocument/2006/relationships/image" Target="media/image8.emf"/><Relationship Id="rId10" Type="http://schemas.openxmlformats.org/officeDocument/2006/relationships/image" Target="media/image3.emf"/><Relationship Id="rId19" Type="http://schemas.openxmlformats.org/officeDocument/2006/relationships/hyperlink" Target="https://heiw.nhs.wales/programmes/trainworklive/" TargetMode="External"/><Relationship Id="rId31" Type="http://schemas.openxmlformats.org/officeDocument/2006/relationships/hyperlink" Target="https://www.agored.cymru/Units-and-Qualifications/Qualification/127858"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pggad.heiw.wales/social-care-and-childcare" TargetMode="External"/><Relationship Id="rId22" Type="http://schemas.openxmlformats.org/officeDocument/2006/relationships/hyperlink" Target="https://heiw.nhs.wales/support/colleague-health-and-wellbeing/" TargetMode="External"/><Relationship Id="rId27" Type="http://schemas.openxmlformats.org/officeDocument/2006/relationships/hyperlink" Target="https://learning.nhs.wales/course/view.php?id=48" TargetMode="External"/><Relationship Id="rId30" Type="http://schemas.openxmlformats.org/officeDocument/2006/relationships/hyperlink" Target="https://www.agored.cymru/Units-and-Qualifications/Qualification/127924" TargetMode="External"/><Relationship Id="rId35" Type="http://schemas.openxmlformats.org/officeDocument/2006/relationships/image" Target="media/image7.png"/><Relationship Id="rId43" Type="http://schemas.microsoft.com/office/2018/08/relationships/commentsExtensible" Target="commentsExtensi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emf"/><Relationship Id="rId17" Type="http://schemas.openxmlformats.org/officeDocument/2006/relationships/hyperlink" Target="https://gov.wales/employing-people-ukraine-and-refugees-social-care-resource-providers" TargetMode="External"/><Relationship Id="rId25" Type="http://schemas.openxmlformats.org/officeDocument/2006/relationships/hyperlink" Target="https://socialcare.wales/service-improvement/outcomes-training-and-developing-the-skills-of-our-workforce" TargetMode="External"/><Relationship Id="rId33" Type="http://schemas.openxmlformats.org/officeDocument/2006/relationships/chart" Target="charts/chart1.xml"/><Relationship Id="rId38" Type="http://schemas.openxmlformats.org/officeDocument/2006/relationships/oleObject" Target="embeddings/oleObject1.bin"/></Relationships>
</file>

<file path=word/charts/_rels/chart1.xml.rels><?xml version="1.0" encoding="UTF-8" standalone="yes"?>
<Relationships xmlns="http://schemas.openxmlformats.org/package/2006/relationships"><Relationship Id="rId3" Type="http://schemas.openxmlformats.org/officeDocument/2006/relationships/oleObject" Target="Book2"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Sheet1!$A$7</c:f>
              <c:strCache>
                <c:ptCount val="1"/>
                <c:pt idx="0">
                  <c:v>Total Delayed Discharges</c:v>
                </c:pt>
              </c:strCache>
            </c:strRef>
          </c:tx>
          <c:spPr>
            <a:ln w="28575" cap="rnd">
              <a:solidFill>
                <a:schemeClr val="accent1"/>
              </a:solidFill>
              <a:round/>
            </a:ln>
            <a:effectLst/>
          </c:spPr>
          <c:marker>
            <c:symbol val="none"/>
          </c:marker>
          <c:cat>
            <c:numRef>
              <c:f>Sheet1!$B$6:$AR$6</c:f>
              <c:numCache>
                <c:formatCode>m/d/yyyy</c:formatCode>
                <c:ptCount val="43"/>
                <c:pt idx="0">
                  <c:v>44684</c:v>
                </c:pt>
                <c:pt idx="1">
                  <c:v>44691</c:v>
                </c:pt>
                <c:pt idx="2">
                  <c:v>44698</c:v>
                </c:pt>
                <c:pt idx="3">
                  <c:v>44705</c:v>
                </c:pt>
                <c:pt idx="4">
                  <c:v>44712</c:v>
                </c:pt>
                <c:pt idx="5">
                  <c:v>44719</c:v>
                </c:pt>
                <c:pt idx="6">
                  <c:v>44726</c:v>
                </c:pt>
                <c:pt idx="7">
                  <c:v>44733</c:v>
                </c:pt>
                <c:pt idx="8">
                  <c:v>44740</c:v>
                </c:pt>
                <c:pt idx="9">
                  <c:v>44747</c:v>
                </c:pt>
                <c:pt idx="10">
                  <c:v>44754</c:v>
                </c:pt>
                <c:pt idx="11">
                  <c:v>44761</c:v>
                </c:pt>
                <c:pt idx="12">
                  <c:v>44768</c:v>
                </c:pt>
                <c:pt idx="13">
                  <c:v>44775</c:v>
                </c:pt>
                <c:pt idx="14">
                  <c:v>44782</c:v>
                </c:pt>
                <c:pt idx="15">
                  <c:v>44789</c:v>
                </c:pt>
                <c:pt idx="16">
                  <c:v>44796</c:v>
                </c:pt>
                <c:pt idx="17">
                  <c:v>44803</c:v>
                </c:pt>
                <c:pt idx="18">
                  <c:v>44810</c:v>
                </c:pt>
                <c:pt idx="19">
                  <c:v>44817</c:v>
                </c:pt>
                <c:pt idx="20">
                  <c:v>44824</c:v>
                </c:pt>
                <c:pt idx="21">
                  <c:v>44831</c:v>
                </c:pt>
                <c:pt idx="22">
                  <c:v>44838</c:v>
                </c:pt>
                <c:pt idx="23">
                  <c:v>44845</c:v>
                </c:pt>
                <c:pt idx="24">
                  <c:v>44852</c:v>
                </c:pt>
                <c:pt idx="25">
                  <c:v>44859</c:v>
                </c:pt>
                <c:pt idx="26">
                  <c:v>44866</c:v>
                </c:pt>
                <c:pt idx="27">
                  <c:v>44873</c:v>
                </c:pt>
                <c:pt idx="28">
                  <c:v>44880</c:v>
                </c:pt>
                <c:pt idx="29">
                  <c:v>44887</c:v>
                </c:pt>
                <c:pt idx="30">
                  <c:v>44894</c:v>
                </c:pt>
                <c:pt idx="31">
                  <c:v>44901</c:v>
                </c:pt>
                <c:pt idx="32">
                  <c:v>44908</c:v>
                </c:pt>
                <c:pt idx="33">
                  <c:v>44915</c:v>
                </c:pt>
                <c:pt idx="34">
                  <c:v>44922</c:v>
                </c:pt>
                <c:pt idx="35">
                  <c:v>44929</c:v>
                </c:pt>
                <c:pt idx="36">
                  <c:v>44936</c:v>
                </c:pt>
                <c:pt idx="37">
                  <c:v>44943</c:v>
                </c:pt>
                <c:pt idx="38">
                  <c:v>44950</c:v>
                </c:pt>
                <c:pt idx="39">
                  <c:v>44957</c:v>
                </c:pt>
                <c:pt idx="40">
                  <c:v>44964</c:v>
                </c:pt>
                <c:pt idx="41">
                  <c:v>44971</c:v>
                </c:pt>
                <c:pt idx="42">
                  <c:v>44978</c:v>
                </c:pt>
              </c:numCache>
            </c:numRef>
          </c:cat>
          <c:val>
            <c:numRef>
              <c:f>Sheet1!$B$7:$AR$7</c:f>
              <c:numCache>
                <c:formatCode>General</c:formatCode>
                <c:ptCount val="43"/>
                <c:pt idx="0">
                  <c:v>1009</c:v>
                </c:pt>
                <c:pt idx="1">
                  <c:v>1091</c:v>
                </c:pt>
                <c:pt idx="2">
                  <c:v>1063</c:v>
                </c:pt>
                <c:pt idx="3">
                  <c:v>1111</c:v>
                </c:pt>
                <c:pt idx="4">
                  <c:v>1096</c:v>
                </c:pt>
                <c:pt idx="5">
                  <c:v>989</c:v>
                </c:pt>
                <c:pt idx="6">
                  <c:v>990</c:v>
                </c:pt>
                <c:pt idx="7">
                  <c:v>951</c:v>
                </c:pt>
                <c:pt idx="8">
                  <c:v>1143</c:v>
                </c:pt>
                <c:pt idx="9">
                  <c:v>1036</c:v>
                </c:pt>
                <c:pt idx="10">
                  <c:v>1096</c:v>
                </c:pt>
                <c:pt idx="11">
                  <c:v>1094</c:v>
                </c:pt>
                <c:pt idx="12">
                  <c:v>1197</c:v>
                </c:pt>
                <c:pt idx="13">
                  <c:v>1017</c:v>
                </c:pt>
                <c:pt idx="14">
                  <c:v>1149</c:v>
                </c:pt>
                <c:pt idx="15">
                  <c:v>1269</c:v>
                </c:pt>
                <c:pt idx="16">
                  <c:v>1262</c:v>
                </c:pt>
                <c:pt idx="17">
                  <c:v>1196</c:v>
                </c:pt>
                <c:pt idx="18">
                  <c:v>1171</c:v>
                </c:pt>
                <c:pt idx="19">
                  <c:v>1239</c:v>
                </c:pt>
                <c:pt idx="20">
                  <c:v>1115</c:v>
                </c:pt>
                <c:pt idx="21">
                  <c:v>1163</c:v>
                </c:pt>
                <c:pt idx="22">
                  <c:v>1171</c:v>
                </c:pt>
                <c:pt idx="23">
                  <c:v>1227</c:v>
                </c:pt>
                <c:pt idx="24">
                  <c:v>1194</c:v>
                </c:pt>
                <c:pt idx="25">
                  <c:v>1206</c:v>
                </c:pt>
                <c:pt idx="26">
                  <c:v>1163</c:v>
                </c:pt>
                <c:pt idx="27">
                  <c:v>1125</c:v>
                </c:pt>
                <c:pt idx="28">
                  <c:v>1209</c:v>
                </c:pt>
                <c:pt idx="29">
                  <c:v>1218</c:v>
                </c:pt>
                <c:pt idx="30">
                  <c:v>1247</c:v>
                </c:pt>
                <c:pt idx="31">
                  <c:v>1222</c:v>
                </c:pt>
                <c:pt idx="32">
                  <c:v>1136</c:v>
                </c:pt>
                <c:pt idx="33">
                  <c:v>1196</c:v>
                </c:pt>
                <c:pt idx="34">
                  <c:v>1113</c:v>
                </c:pt>
                <c:pt idx="35">
                  <c:v>1001</c:v>
                </c:pt>
                <c:pt idx="36">
                  <c:v>1103</c:v>
                </c:pt>
                <c:pt idx="37">
                  <c:v>1083</c:v>
                </c:pt>
                <c:pt idx="38">
                  <c:v>1112</c:v>
                </c:pt>
                <c:pt idx="39">
                  <c:v>1023</c:v>
                </c:pt>
                <c:pt idx="40">
                  <c:v>1040</c:v>
                </c:pt>
                <c:pt idx="41">
                  <c:v>1000</c:v>
                </c:pt>
                <c:pt idx="42">
                  <c:v>918</c:v>
                </c:pt>
              </c:numCache>
            </c:numRef>
          </c:val>
          <c:smooth val="0"/>
          <c:extLst>
            <c:ext xmlns:c16="http://schemas.microsoft.com/office/drawing/2014/chart" uri="{C3380CC4-5D6E-409C-BE32-E72D297353CC}">
              <c16:uniqueId val="{00000000-D484-42FA-A335-60ADD1A755F3}"/>
            </c:ext>
          </c:extLst>
        </c:ser>
        <c:dLbls>
          <c:showLegendKey val="0"/>
          <c:showVal val="0"/>
          <c:showCatName val="0"/>
          <c:showSerName val="0"/>
          <c:showPercent val="0"/>
          <c:showBubbleSize val="0"/>
        </c:dLbls>
        <c:smooth val="0"/>
        <c:axId val="540858624"/>
        <c:axId val="540862784"/>
      </c:lineChart>
      <c:dateAx>
        <c:axId val="540858624"/>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0862784"/>
        <c:crosses val="autoZero"/>
        <c:auto val="1"/>
        <c:lblOffset val="100"/>
        <c:baseTimeUnit val="days"/>
      </c:dateAx>
      <c:valAx>
        <c:axId val="5408627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08586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C08D6607-6FCD-43E1-AE3C-1D8C0AC152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3470</Words>
  <Characters>19783</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23207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Griffiths (Swansea Bay UHB - NHS Wales Delivery Unit)</dc:creator>
  <cp:keywords/>
  <dc:description/>
  <cp:lastModifiedBy>Adele Gittoes (Swansea Bay UHB - NHS Wales Delivery Unit)</cp:lastModifiedBy>
  <cp:revision>2</cp:revision>
  <dcterms:created xsi:type="dcterms:W3CDTF">2023-03-30T15:37:00Z</dcterms:created>
  <dcterms:modified xsi:type="dcterms:W3CDTF">2023-03-30T15:37:00Z</dcterms:modified>
</cp:coreProperties>
</file>