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56BD" w:rsidRPr="00A956BD" w:rsidRDefault="00A956BD" w:rsidP="00A956BD">
      <w:pPr>
        <w:widowControl w:val="0"/>
        <w:pBdr>
          <w:top w:val="single" w:sz="4" w:space="10" w:color="5B9BD5" w:themeColor="accent1"/>
          <w:bottom w:val="single" w:sz="4" w:space="10" w:color="5B9BD5" w:themeColor="accent1"/>
        </w:pBdr>
        <w:autoSpaceDE w:val="0"/>
        <w:autoSpaceDN w:val="0"/>
        <w:spacing w:before="101" w:after="360" w:line="240" w:lineRule="auto"/>
        <w:ind w:left="998" w:right="680" w:hanging="431"/>
        <w:jc w:val="center"/>
        <w:outlineLvl w:val="0"/>
        <w:rPr>
          <w:rFonts w:ascii="Cambria" w:eastAsia="Cambria" w:hAnsi="Cambria" w:cs="Cambria"/>
          <w:b/>
          <w:iCs/>
          <w:color w:val="44546A" w:themeColor="text2"/>
          <w:sz w:val="36"/>
          <w:szCs w:val="40"/>
        </w:rPr>
      </w:pPr>
      <w:bookmarkStart w:id="0" w:name="_Toc30755880"/>
      <w:r w:rsidRPr="00A956BD">
        <w:rPr>
          <w:rFonts w:ascii="Cambria" w:eastAsia="Cambria" w:hAnsi="Cambria" w:cs="Cambria"/>
          <w:b/>
          <w:iCs/>
          <w:color w:val="44546A" w:themeColor="text2"/>
          <w:sz w:val="36"/>
          <w:szCs w:val="40"/>
        </w:rPr>
        <w:t>EASC Work Programme</w:t>
      </w:r>
      <w:bookmarkEnd w:id="0"/>
    </w:p>
    <w:p w:rsidR="00A956BD" w:rsidRPr="00A956BD" w:rsidRDefault="00A956BD" w:rsidP="00A956BD">
      <w:pPr>
        <w:keepNext/>
        <w:keepLines/>
        <w:numPr>
          <w:ilvl w:val="1"/>
          <w:numId w:val="0"/>
        </w:numPr>
        <w:spacing w:before="40" w:after="0"/>
        <w:ind w:left="1145" w:right="680" w:hanging="578"/>
        <w:outlineLvl w:val="1"/>
        <w:rPr>
          <w:rFonts w:asciiTheme="majorHAnsi" w:eastAsia="Cambria" w:hAnsiTheme="majorHAnsi" w:cstheme="majorBidi"/>
          <w:b/>
          <w:color w:val="1F4E79" w:themeColor="accent1" w:themeShade="80"/>
          <w:sz w:val="32"/>
          <w:szCs w:val="26"/>
        </w:rPr>
      </w:pPr>
      <w:bookmarkStart w:id="1" w:name="_Toc30755881"/>
      <w:r w:rsidRPr="00A956BD">
        <w:rPr>
          <w:rFonts w:asciiTheme="majorHAnsi" w:eastAsia="Cambria" w:hAnsiTheme="majorHAnsi" w:cstheme="majorBidi"/>
          <w:b/>
          <w:color w:val="1F4E79" w:themeColor="accent1" w:themeShade="80"/>
          <w:sz w:val="32"/>
          <w:szCs w:val="26"/>
        </w:rPr>
        <w:t>Background</w:t>
      </w:r>
      <w:bookmarkEnd w:id="1"/>
    </w:p>
    <w:p w:rsidR="00A956BD" w:rsidRPr="00A956BD" w:rsidRDefault="00A956BD" w:rsidP="00A956BD">
      <w:pPr>
        <w:widowControl w:val="0"/>
        <w:autoSpaceDE w:val="0"/>
        <w:autoSpaceDN w:val="0"/>
        <w:spacing w:before="1" w:after="0" w:line="237" w:lineRule="auto"/>
        <w:ind w:left="567" w:right="680"/>
        <w:jc w:val="both"/>
        <w:rPr>
          <w:rFonts w:ascii="Calibri" w:eastAsia="Calibri" w:hAnsi="Calibri" w:cs="Calibri"/>
        </w:rPr>
      </w:pPr>
      <w:r w:rsidRPr="00A956BD">
        <w:rPr>
          <w:rFonts w:ascii="Calibri" w:eastAsia="Calibri" w:hAnsi="Calibri" w:cs="Calibri"/>
        </w:rPr>
        <w:t>The Emergency Ambulance Services Committee (“Joint Committee”) was formed by statutory instrument 2014 No. 566 (W. 67) on the 10</w:t>
      </w:r>
      <w:r w:rsidRPr="00A956BD">
        <w:rPr>
          <w:rFonts w:ascii="Calibri" w:eastAsia="Calibri" w:hAnsi="Calibri" w:cs="Calibri"/>
          <w:vertAlign w:val="superscript"/>
        </w:rPr>
        <w:t>th</w:t>
      </w:r>
      <w:r w:rsidRPr="00A956BD">
        <w:rPr>
          <w:rFonts w:ascii="Calibri" w:eastAsia="Calibri" w:hAnsi="Calibri" w:cs="Calibri"/>
        </w:rPr>
        <w:t xml:space="preserve"> May 2014. The Joint Committee is made up of the Chief Executives of the seven Local Health Boards, Chief Ambulance Service Commissioner (CASC) and an Independent Chair both appointed Ministerially.</w:t>
      </w:r>
    </w:p>
    <w:p w:rsidR="00A956BD" w:rsidRPr="00A956BD" w:rsidRDefault="00A956BD" w:rsidP="00A956BD">
      <w:pPr>
        <w:widowControl w:val="0"/>
        <w:autoSpaceDE w:val="0"/>
        <w:autoSpaceDN w:val="0"/>
        <w:spacing w:after="0" w:line="240" w:lineRule="auto"/>
        <w:ind w:left="567" w:right="680"/>
        <w:rPr>
          <w:rFonts w:ascii="Calibri" w:eastAsia="Calibri" w:hAnsi="Calibri" w:cs="Calibri"/>
        </w:rPr>
      </w:pPr>
    </w:p>
    <w:p w:rsidR="00A956BD" w:rsidRPr="00A956BD" w:rsidRDefault="00A956BD" w:rsidP="00A956BD">
      <w:pPr>
        <w:widowControl w:val="0"/>
        <w:autoSpaceDE w:val="0"/>
        <w:autoSpaceDN w:val="0"/>
        <w:spacing w:before="1" w:after="0" w:line="240" w:lineRule="auto"/>
        <w:ind w:left="567" w:right="680"/>
        <w:jc w:val="both"/>
        <w:rPr>
          <w:rFonts w:ascii="Calibri" w:eastAsia="Calibri" w:hAnsi="Calibri" w:cs="Calibri"/>
        </w:rPr>
      </w:pPr>
      <w:r w:rsidRPr="00A956BD">
        <w:rPr>
          <w:rFonts w:ascii="Calibri" w:eastAsia="Calibri" w:hAnsi="Calibri" w:cs="Calibri"/>
        </w:rPr>
        <w:t>The seven Local Health Boards in Wales are required under the legislation to work jointly to exercise functions relating to the planning and securing of emergency ambulance services. The CASC exercises these duties on behalf of the Joint Committee. EASC support the commissioning intentions and the financial envelope required to improve and deliver ambulance services across Wales.</w:t>
      </w:r>
    </w:p>
    <w:p w:rsidR="00A956BD" w:rsidRPr="00A956BD" w:rsidRDefault="00A956BD" w:rsidP="00A956BD">
      <w:pPr>
        <w:widowControl w:val="0"/>
        <w:autoSpaceDE w:val="0"/>
        <w:autoSpaceDN w:val="0"/>
        <w:spacing w:before="1" w:after="0" w:line="240" w:lineRule="auto"/>
        <w:ind w:left="567" w:right="680"/>
        <w:jc w:val="both"/>
        <w:rPr>
          <w:rFonts w:ascii="Calibri" w:eastAsia="Calibri" w:hAnsi="Calibri" w:cs="Calibri"/>
        </w:rPr>
      </w:pPr>
    </w:p>
    <w:p w:rsidR="00A956BD" w:rsidRPr="00A956BD" w:rsidRDefault="00A956BD" w:rsidP="00A956BD">
      <w:pPr>
        <w:keepNext/>
        <w:keepLines/>
        <w:numPr>
          <w:ilvl w:val="1"/>
          <w:numId w:val="0"/>
        </w:numPr>
        <w:spacing w:before="40" w:after="0"/>
        <w:ind w:left="1145" w:right="680" w:hanging="578"/>
        <w:outlineLvl w:val="1"/>
        <w:rPr>
          <w:rFonts w:asciiTheme="majorHAnsi" w:eastAsia="Cambria" w:hAnsiTheme="majorHAnsi" w:cstheme="majorBidi"/>
          <w:b/>
          <w:color w:val="1F4E79" w:themeColor="accent1" w:themeShade="80"/>
          <w:sz w:val="32"/>
          <w:szCs w:val="26"/>
        </w:rPr>
      </w:pPr>
      <w:bookmarkStart w:id="2" w:name="_Toc30755882"/>
      <w:r w:rsidRPr="00A956BD">
        <w:rPr>
          <w:rFonts w:asciiTheme="majorHAnsi" w:eastAsia="Cambria" w:hAnsiTheme="majorHAnsi" w:cstheme="majorBidi"/>
          <w:b/>
          <w:color w:val="1F4E79" w:themeColor="accent1" w:themeShade="80"/>
          <w:sz w:val="32"/>
          <w:szCs w:val="26"/>
        </w:rPr>
        <w:t>EASC Key Deliverables</w:t>
      </w:r>
      <w:bookmarkEnd w:id="2"/>
      <w:r w:rsidRPr="00A956BD">
        <w:rPr>
          <w:rFonts w:asciiTheme="majorHAnsi" w:eastAsia="Cambria" w:hAnsiTheme="majorHAnsi" w:cstheme="majorBidi"/>
          <w:b/>
          <w:color w:val="1F4E79" w:themeColor="accent1" w:themeShade="80"/>
          <w:sz w:val="32"/>
          <w:szCs w:val="26"/>
        </w:rPr>
        <w:t xml:space="preserve"> </w:t>
      </w:r>
    </w:p>
    <w:p w:rsidR="00A956BD" w:rsidRPr="00A956BD" w:rsidRDefault="00A956BD" w:rsidP="00A956BD">
      <w:pPr>
        <w:ind w:left="567"/>
      </w:pPr>
      <w:r w:rsidRPr="00A956BD">
        <w:t xml:space="preserve">The key deliverables for the EASC work programme can be found in Appendix 1. </w:t>
      </w:r>
    </w:p>
    <w:p w:rsidR="00A956BD" w:rsidRPr="00A956BD" w:rsidRDefault="00A956BD" w:rsidP="00A956BD">
      <w:pPr>
        <w:keepNext/>
        <w:keepLines/>
        <w:numPr>
          <w:ilvl w:val="1"/>
          <w:numId w:val="0"/>
        </w:numPr>
        <w:spacing w:before="40" w:after="0"/>
        <w:ind w:left="1145" w:right="680" w:hanging="578"/>
        <w:outlineLvl w:val="1"/>
        <w:rPr>
          <w:rFonts w:asciiTheme="majorHAnsi" w:eastAsia="Cambria" w:hAnsiTheme="majorHAnsi" w:cstheme="majorBidi"/>
          <w:b/>
          <w:color w:val="1F4E79" w:themeColor="accent1" w:themeShade="80"/>
          <w:sz w:val="32"/>
          <w:szCs w:val="26"/>
        </w:rPr>
      </w:pPr>
      <w:bookmarkStart w:id="3" w:name="_Toc30755883"/>
      <w:r w:rsidRPr="00A956BD">
        <w:rPr>
          <w:rFonts w:asciiTheme="majorHAnsi" w:eastAsia="Cambria" w:hAnsiTheme="majorHAnsi" w:cstheme="majorBidi"/>
          <w:b/>
          <w:color w:val="1F4E79" w:themeColor="accent1" w:themeShade="80"/>
          <w:sz w:val="32"/>
          <w:szCs w:val="26"/>
        </w:rPr>
        <w:t>EASC Collaborative Commissioning Integrated Delivery Model</w:t>
      </w:r>
      <w:bookmarkEnd w:id="3"/>
      <w:r w:rsidRPr="00A956BD">
        <w:rPr>
          <w:rFonts w:asciiTheme="majorHAnsi" w:eastAsia="Cambria" w:hAnsiTheme="majorHAnsi" w:cstheme="majorBidi"/>
          <w:b/>
          <w:color w:val="1F4E79" w:themeColor="accent1" w:themeShade="80"/>
          <w:sz w:val="32"/>
          <w:szCs w:val="26"/>
        </w:rPr>
        <w:t xml:space="preserve"> </w:t>
      </w:r>
    </w:p>
    <w:p w:rsidR="00A956BD" w:rsidRPr="00A956BD" w:rsidRDefault="00A956BD" w:rsidP="00A956BD">
      <w:pPr>
        <w:widowControl w:val="0"/>
        <w:autoSpaceDE w:val="0"/>
        <w:autoSpaceDN w:val="0"/>
        <w:spacing w:before="8" w:after="0" w:line="264" w:lineRule="exact"/>
        <w:ind w:left="567" w:right="680"/>
        <w:jc w:val="both"/>
        <w:rPr>
          <w:rFonts w:ascii="Calibri" w:eastAsia="Calibri" w:hAnsi="Calibri" w:cs="Calibri"/>
        </w:rPr>
      </w:pPr>
      <w:r w:rsidRPr="00A956BD">
        <w:t>This is the model by which the NCCU commission</w:t>
      </w:r>
      <w:r w:rsidRPr="00A956BD">
        <w:rPr>
          <w:rFonts w:ascii="Calibri" w:eastAsia="Calibri" w:hAnsi="Calibri" w:cs="Calibri"/>
        </w:rPr>
        <w:t xml:space="preserve">: </w:t>
      </w:r>
    </w:p>
    <w:p w:rsidR="00A956BD" w:rsidRPr="00A956BD" w:rsidRDefault="00A956BD" w:rsidP="00A956BD">
      <w:pPr>
        <w:widowControl w:val="0"/>
        <w:numPr>
          <w:ilvl w:val="0"/>
          <w:numId w:val="14"/>
        </w:numPr>
        <w:autoSpaceDE w:val="0"/>
        <w:autoSpaceDN w:val="0"/>
        <w:spacing w:before="8" w:after="0" w:line="264" w:lineRule="exact"/>
        <w:ind w:left="1134" w:right="680" w:hanging="283"/>
        <w:jc w:val="both"/>
        <w:rPr>
          <w:rFonts w:ascii="Calibri" w:eastAsia="Calibri" w:hAnsi="Calibri" w:cs="Calibri"/>
        </w:rPr>
      </w:pPr>
      <w:r w:rsidRPr="00A956BD">
        <w:rPr>
          <w:rFonts w:ascii="Calibri" w:eastAsia="Calibri" w:hAnsi="Calibri" w:cs="Calibri"/>
        </w:rPr>
        <w:t>Emergency Medical Services (EMS)</w:t>
      </w:r>
    </w:p>
    <w:p w:rsidR="00A956BD" w:rsidRPr="00A956BD" w:rsidRDefault="00A956BD" w:rsidP="00A956BD">
      <w:pPr>
        <w:widowControl w:val="0"/>
        <w:numPr>
          <w:ilvl w:val="0"/>
          <w:numId w:val="14"/>
        </w:numPr>
        <w:autoSpaceDE w:val="0"/>
        <w:autoSpaceDN w:val="0"/>
        <w:spacing w:before="8" w:after="0" w:line="264" w:lineRule="exact"/>
        <w:ind w:left="1134" w:right="680" w:hanging="283"/>
        <w:jc w:val="both"/>
        <w:rPr>
          <w:rFonts w:ascii="Calibri" w:eastAsia="Calibri" w:hAnsi="Calibri" w:cs="Calibri"/>
        </w:rPr>
      </w:pPr>
      <w:r w:rsidRPr="00A956BD">
        <w:rPr>
          <w:rFonts w:ascii="Calibri" w:eastAsia="Calibri" w:hAnsi="Calibri" w:cs="Calibri"/>
        </w:rPr>
        <w:t>Non-Emergency Patient Transport Services (NEPTS)</w:t>
      </w:r>
    </w:p>
    <w:p w:rsidR="00A956BD" w:rsidRPr="00A956BD" w:rsidRDefault="00A956BD" w:rsidP="00A956BD">
      <w:pPr>
        <w:widowControl w:val="0"/>
        <w:numPr>
          <w:ilvl w:val="0"/>
          <w:numId w:val="14"/>
        </w:numPr>
        <w:autoSpaceDE w:val="0"/>
        <w:autoSpaceDN w:val="0"/>
        <w:spacing w:before="8" w:after="0" w:line="264" w:lineRule="exact"/>
        <w:ind w:left="1134" w:right="680" w:hanging="283"/>
        <w:jc w:val="both"/>
        <w:rPr>
          <w:rFonts w:ascii="Calibri" w:eastAsia="Calibri" w:hAnsi="Calibri" w:cs="Calibri"/>
        </w:rPr>
      </w:pPr>
      <w:r w:rsidRPr="00A956BD">
        <w:rPr>
          <w:rFonts w:ascii="Calibri" w:eastAsia="Calibri" w:hAnsi="Calibri" w:cs="Calibri"/>
        </w:rPr>
        <w:t xml:space="preserve">Emergency Medical Retrieval Transfer Services (EMRTS) </w:t>
      </w:r>
    </w:p>
    <w:p w:rsidR="00A956BD" w:rsidRPr="00A956BD" w:rsidRDefault="00A956BD" w:rsidP="00A956BD">
      <w:pPr>
        <w:widowControl w:val="0"/>
        <w:autoSpaceDE w:val="0"/>
        <w:autoSpaceDN w:val="0"/>
        <w:spacing w:before="8" w:after="0" w:line="264" w:lineRule="exact"/>
        <w:ind w:left="1134" w:right="680"/>
        <w:jc w:val="both"/>
        <w:rPr>
          <w:rFonts w:ascii="Calibri" w:eastAsia="Calibri" w:hAnsi="Calibri" w:cs="Calibri"/>
        </w:rPr>
      </w:pPr>
    </w:p>
    <w:p w:rsidR="00A956BD" w:rsidRPr="00A956BD" w:rsidRDefault="00A956BD" w:rsidP="00A956BD">
      <w:pPr>
        <w:widowControl w:val="0"/>
        <w:autoSpaceDE w:val="0"/>
        <w:autoSpaceDN w:val="0"/>
        <w:spacing w:before="8" w:after="0" w:line="264" w:lineRule="exact"/>
        <w:ind w:left="567" w:right="680"/>
        <w:jc w:val="both"/>
        <w:rPr>
          <w:rFonts w:ascii="Calibri" w:eastAsia="Calibri" w:hAnsi="Calibri" w:cs="Calibri"/>
        </w:rPr>
      </w:pPr>
      <w:r w:rsidRPr="00A956BD">
        <w:rPr>
          <w:rFonts w:ascii="Calibri" w:eastAsia="Calibri" w:hAnsi="Calibri" w:cs="Calibri"/>
        </w:rPr>
        <w:t xml:space="preserve">The NCCU commissions services through an integrated delivery model. The collaborative commissioning process deploys its 3 capabilities and is supported by the EASC Model Standing Orders. </w:t>
      </w:r>
    </w:p>
    <w:p w:rsidR="00A956BD" w:rsidRPr="00A956BD" w:rsidRDefault="00A956BD" w:rsidP="00A956BD">
      <w:pPr>
        <w:widowControl w:val="0"/>
        <w:autoSpaceDE w:val="0"/>
        <w:autoSpaceDN w:val="0"/>
        <w:spacing w:before="8" w:after="0" w:line="264" w:lineRule="exact"/>
        <w:ind w:left="567" w:right="680"/>
        <w:jc w:val="both"/>
        <w:rPr>
          <w:rFonts w:ascii="Calibri" w:eastAsia="Calibri" w:hAnsi="Calibri" w:cs="Calibri"/>
        </w:rPr>
      </w:pPr>
    </w:p>
    <w:p w:rsidR="00A956BD" w:rsidRPr="00A956BD" w:rsidRDefault="00A956BD" w:rsidP="00A956BD">
      <w:pPr>
        <w:ind w:left="567" w:right="680"/>
      </w:pPr>
      <w:r w:rsidRPr="00A956BD">
        <w:rPr>
          <w:noProof/>
          <w:lang w:eastAsia="en-GB"/>
        </w:rPr>
        <w:drawing>
          <wp:anchor distT="0" distB="0" distL="114300" distR="114300" simplePos="0" relativeHeight="251666432" behindDoc="0" locked="0" layoutInCell="1" allowOverlap="1" wp14:anchorId="3A7ABA88" wp14:editId="1152D2A5">
            <wp:simplePos x="0" y="0"/>
            <wp:positionH relativeFrom="margin">
              <wp:align>center</wp:align>
            </wp:positionH>
            <wp:positionV relativeFrom="paragraph">
              <wp:posOffset>7620</wp:posOffset>
            </wp:positionV>
            <wp:extent cx="3992245" cy="3756660"/>
            <wp:effectExtent l="0" t="0" r="8255"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992245" cy="3756660"/>
                    </a:xfrm>
                    <a:prstGeom prst="rect">
                      <a:avLst/>
                    </a:prstGeom>
                    <a:noFill/>
                  </pic:spPr>
                </pic:pic>
              </a:graphicData>
            </a:graphic>
            <wp14:sizeRelH relativeFrom="margin">
              <wp14:pctWidth>0</wp14:pctWidth>
            </wp14:sizeRelH>
            <wp14:sizeRelV relativeFrom="margin">
              <wp14:pctHeight>0</wp14:pctHeight>
            </wp14:sizeRelV>
          </wp:anchor>
        </w:drawing>
      </w:r>
    </w:p>
    <w:p w:rsidR="00A956BD" w:rsidRPr="00A956BD" w:rsidRDefault="00A956BD" w:rsidP="00A956BD">
      <w:pPr>
        <w:ind w:left="2081" w:right="680"/>
        <w:rPr>
          <w:sz w:val="18"/>
          <w:szCs w:val="18"/>
        </w:rPr>
      </w:pPr>
    </w:p>
    <w:p w:rsidR="00A956BD" w:rsidRPr="00A956BD" w:rsidRDefault="00A956BD" w:rsidP="00A956BD">
      <w:pPr>
        <w:ind w:left="2081" w:right="680"/>
        <w:rPr>
          <w:sz w:val="18"/>
          <w:szCs w:val="18"/>
        </w:rPr>
      </w:pPr>
    </w:p>
    <w:p w:rsidR="00A956BD" w:rsidRPr="00A956BD" w:rsidRDefault="00A956BD" w:rsidP="00A956BD">
      <w:pPr>
        <w:ind w:left="2081" w:right="680"/>
        <w:rPr>
          <w:sz w:val="18"/>
          <w:szCs w:val="18"/>
        </w:rPr>
      </w:pPr>
    </w:p>
    <w:p w:rsidR="00A956BD" w:rsidRPr="00A956BD" w:rsidRDefault="00A956BD" w:rsidP="00A956BD">
      <w:pPr>
        <w:ind w:left="2081" w:right="680"/>
        <w:rPr>
          <w:sz w:val="18"/>
          <w:szCs w:val="18"/>
        </w:rPr>
      </w:pPr>
    </w:p>
    <w:p w:rsidR="00A956BD" w:rsidRPr="00A956BD" w:rsidRDefault="00A956BD" w:rsidP="00A956BD">
      <w:pPr>
        <w:ind w:left="2081" w:right="680"/>
        <w:rPr>
          <w:sz w:val="18"/>
          <w:szCs w:val="18"/>
        </w:rPr>
      </w:pPr>
    </w:p>
    <w:p w:rsidR="00A956BD" w:rsidRPr="00A956BD" w:rsidRDefault="00A956BD" w:rsidP="00A956BD">
      <w:pPr>
        <w:ind w:left="2081" w:right="680"/>
        <w:rPr>
          <w:sz w:val="18"/>
          <w:szCs w:val="18"/>
        </w:rPr>
      </w:pPr>
    </w:p>
    <w:p w:rsidR="00A956BD" w:rsidRPr="00A956BD" w:rsidRDefault="00A956BD" w:rsidP="00A956BD">
      <w:pPr>
        <w:ind w:left="2081" w:right="680"/>
        <w:rPr>
          <w:sz w:val="18"/>
          <w:szCs w:val="18"/>
        </w:rPr>
      </w:pPr>
    </w:p>
    <w:p w:rsidR="00A956BD" w:rsidRPr="00A956BD" w:rsidRDefault="00A956BD" w:rsidP="00A956BD">
      <w:pPr>
        <w:ind w:left="2081" w:right="680"/>
        <w:rPr>
          <w:sz w:val="18"/>
          <w:szCs w:val="18"/>
        </w:rPr>
      </w:pPr>
    </w:p>
    <w:p w:rsidR="00A956BD" w:rsidRPr="00A956BD" w:rsidRDefault="00A956BD" w:rsidP="00A956BD">
      <w:pPr>
        <w:ind w:left="2081" w:right="680"/>
        <w:rPr>
          <w:sz w:val="18"/>
          <w:szCs w:val="18"/>
        </w:rPr>
      </w:pPr>
    </w:p>
    <w:p w:rsidR="00A956BD" w:rsidRPr="00A956BD" w:rsidRDefault="00A956BD" w:rsidP="00A956BD">
      <w:pPr>
        <w:ind w:left="2081" w:right="680"/>
        <w:rPr>
          <w:sz w:val="18"/>
          <w:szCs w:val="18"/>
        </w:rPr>
      </w:pPr>
    </w:p>
    <w:p w:rsidR="00A956BD" w:rsidRPr="00A956BD" w:rsidRDefault="00A956BD" w:rsidP="00A956BD">
      <w:pPr>
        <w:ind w:left="2081" w:right="680"/>
        <w:rPr>
          <w:sz w:val="18"/>
          <w:szCs w:val="18"/>
        </w:rPr>
      </w:pPr>
    </w:p>
    <w:p w:rsidR="00A956BD" w:rsidRPr="00A956BD" w:rsidRDefault="00A956BD" w:rsidP="00A956BD">
      <w:pPr>
        <w:ind w:left="2081" w:right="680"/>
        <w:rPr>
          <w:sz w:val="18"/>
          <w:szCs w:val="18"/>
        </w:rPr>
      </w:pPr>
    </w:p>
    <w:p w:rsidR="00A956BD" w:rsidRPr="00A956BD" w:rsidRDefault="00A956BD" w:rsidP="00A956BD">
      <w:pPr>
        <w:ind w:left="2081" w:right="680"/>
        <w:rPr>
          <w:sz w:val="18"/>
          <w:szCs w:val="18"/>
        </w:rPr>
      </w:pPr>
    </w:p>
    <w:p w:rsidR="00A956BD" w:rsidRPr="00A956BD" w:rsidRDefault="00A956BD" w:rsidP="00A956BD">
      <w:pPr>
        <w:ind w:left="2081" w:right="680"/>
        <w:rPr>
          <w:sz w:val="18"/>
          <w:szCs w:val="18"/>
        </w:rPr>
      </w:pPr>
    </w:p>
    <w:p w:rsidR="00A956BD" w:rsidRPr="00A956BD" w:rsidRDefault="00A956BD" w:rsidP="00A956BD">
      <w:pPr>
        <w:ind w:left="2081" w:right="680"/>
        <w:rPr>
          <w:rFonts w:ascii="Cambria" w:eastAsia="Cambria" w:hAnsi="Cambria" w:cs="Cambria"/>
          <w:color w:val="243F60"/>
          <w:sz w:val="28"/>
          <w:szCs w:val="28"/>
          <w:vertAlign w:val="superscript"/>
        </w:rPr>
      </w:pPr>
      <w:r w:rsidRPr="00A956BD">
        <w:rPr>
          <w:sz w:val="18"/>
          <w:szCs w:val="18"/>
        </w:rPr>
        <w:t>Figure 16: EASC Collaborative Commissioning Integrated Delivery Model</w:t>
      </w:r>
    </w:p>
    <w:p w:rsidR="00A956BD" w:rsidRPr="00A956BD" w:rsidRDefault="00A956BD" w:rsidP="00A956BD">
      <w:pPr>
        <w:keepNext/>
        <w:keepLines/>
        <w:numPr>
          <w:ilvl w:val="1"/>
          <w:numId w:val="0"/>
        </w:numPr>
        <w:spacing w:before="40" w:after="0"/>
        <w:ind w:left="1145" w:right="680" w:hanging="578"/>
        <w:outlineLvl w:val="1"/>
        <w:rPr>
          <w:rFonts w:asciiTheme="majorHAnsi" w:eastAsia="Cambria" w:hAnsiTheme="majorHAnsi" w:cstheme="majorBidi"/>
          <w:b/>
          <w:color w:val="1F4E79" w:themeColor="accent1" w:themeShade="80"/>
          <w:sz w:val="32"/>
          <w:szCs w:val="26"/>
        </w:rPr>
      </w:pPr>
      <w:bookmarkStart w:id="4" w:name="_Toc30755884"/>
      <w:r w:rsidRPr="00A956BD">
        <w:rPr>
          <w:rFonts w:asciiTheme="majorHAnsi" w:eastAsia="Cambria" w:hAnsiTheme="majorHAnsi" w:cstheme="majorBidi"/>
          <w:b/>
          <w:color w:val="1F4E79" w:themeColor="accent1" w:themeShade="80"/>
          <w:sz w:val="32"/>
          <w:szCs w:val="26"/>
        </w:rPr>
        <w:lastRenderedPageBreak/>
        <w:t>Commissioning Development &amp; Support</w:t>
      </w:r>
      <w:bookmarkEnd w:id="4"/>
      <w:r w:rsidRPr="00A956BD">
        <w:rPr>
          <w:rFonts w:asciiTheme="majorHAnsi" w:eastAsia="Cambria" w:hAnsiTheme="majorHAnsi" w:cstheme="majorBidi"/>
          <w:b/>
          <w:color w:val="1F4E79" w:themeColor="accent1" w:themeShade="80"/>
          <w:sz w:val="32"/>
          <w:szCs w:val="26"/>
        </w:rPr>
        <w:t xml:space="preserve"> </w:t>
      </w:r>
    </w:p>
    <w:p w:rsidR="00A956BD" w:rsidRPr="00A956BD" w:rsidRDefault="00A956BD" w:rsidP="00A956BD">
      <w:pPr>
        <w:keepNext/>
        <w:keepLines/>
        <w:numPr>
          <w:ilvl w:val="2"/>
          <w:numId w:val="0"/>
        </w:numPr>
        <w:spacing w:before="40" w:after="0"/>
        <w:ind w:left="1287" w:right="680" w:hanging="720"/>
        <w:outlineLvl w:val="2"/>
        <w:rPr>
          <w:rFonts w:asciiTheme="majorHAnsi" w:eastAsiaTheme="majorEastAsia" w:hAnsiTheme="majorHAnsi" w:cstheme="majorBidi"/>
          <w:color w:val="1F4D78" w:themeColor="accent1" w:themeShade="7F"/>
          <w:sz w:val="28"/>
          <w:szCs w:val="24"/>
        </w:rPr>
      </w:pPr>
      <w:r w:rsidRPr="00A956BD">
        <w:rPr>
          <w:rFonts w:asciiTheme="majorHAnsi" w:eastAsiaTheme="majorEastAsia" w:hAnsiTheme="majorHAnsi" w:cstheme="majorBidi"/>
          <w:color w:val="1F4D78" w:themeColor="accent1" w:themeShade="7F"/>
          <w:sz w:val="28"/>
          <w:szCs w:val="24"/>
        </w:rPr>
        <w:t>Commissioning Development &amp; Support (EASC)</w:t>
      </w:r>
    </w:p>
    <w:p w:rsidR="00A956BD" w:rsidRPr="00A956BD" w:rsidRDefault="00A956BD" w:rsidP="00A956BD">
      <w:pPr>
        <w:widowControl w:val="0"/>
        <w:autoSpaceDE w:val="0"/>
        <w:autoSpaceDN w:val="0"/>
        <w:spacing w:before="8" w:after="0" w:line="264" w:lineRule="exact"/>
        <w:ind w:left="567" w:right="680"/>
        <w:jc w:val="both"/>
        <w:rPr>
          <w:rFonts w:ascii="Calibri" w:eastAsia="Calibri" w:hAnsi="Calibri" w:cs="Calibri"/>
        </w:rPr>
      </w:pPr>
      <w:r w:rsidRPr="00A956BD">
        <w:rPr>
          <w:rFonts w:ascii="Calibri" w:eastAsia="Calibri" w:hAnsi="Calibri" w:cs="Calibri"/>
        </w:rPr>
        <w:t xml:space="preserve">The Commissioning Development Support Service delivers the following capabilities:  </w:t>
      </w:r>
    </w:p>
    <w:p w:rsidR="00A956BD" w:rsidRPr="00A956BD" w:rsidRDefault="00A956BD" w:rsidP="00A956BD">
      <w:pPr>
        <w:widowControl w:val="0"/>
        <w:numPr>
          <w:ilvl w:val="1"/>
          <w:numId w:val="4"/>
        </w:numPr>
        <w:autoSpaceDE w:val="0"/>
        <w:autoSpaceDN w:val="0"/>
        <w:spacing w:before="8" w:after="0" w:line="264" w:lineRule="exact"/>
        <w:ind w:left="1134" w:right="680" w:hanging="283"/>
        <w:jc w:val="both"/>
        <w:rPr>
          <w:rFonts w:ascii="Calibri" w:eastAsia="Calibri" w:hAnsi="Calibri" w:cs="Calibri"/>
        </w:rPr>
      </w:pPr>
      <w:r w:rsidRPr="00A956BD">
        <w:rPr>
          <w:rFonts w:ascii="Calibri" w:eastAsia="Calibri" w:hAnsi="Calibri" w:cs="Calibri"/>
        </w:rPr>
        <w:t>Defines the quality and safety expectations for EMS, NEPTS and EMRTS in the form of standards.</w:t>
      </w:r>
    </w:p>
    <w:p w:rsidR="00A956BD" w:rsidRPr="00A956BD" w:rsidRDefault="00A956BD" w:rsidP="00A956BD">
      <w:pPr>
        <w:widowControl w:val="0"/>
        <w:numPr>
          <w:ilvl w:val="1"/>
          <w:numId w:val="4"/>
        </w:numPr>
        <w:autoSpaceDE w:val="0"/>
        <w:autoSpaceDN w:val="0"/>
        <w:spacing w:before="8" w:after="0" w:line="264" w:lineRule="exact"/>
        <w:ind w:left="1134" w:right="680" w:hanging="283"/>
        <w:jc w:val="both"/>
        <w:rPr>
          <w:rFonts w:ascii="Calibri" w:eastAsia="Calibri" w:hAnsi="Calibri" w:cs="Calibri"/>
        </w:rPr>
      </w:pPr>
      <w:r w:rsidRPr="00A956BD">
        <w:rPr>
          <w:rFonts w:ascii="Calibri" w:eastAsia="Calibri" w:hAnsi="Calibri" w:cs="Calibri"/>
        </w:rPr>
        <w:t>Ensures these standards are in accordance with Welsh Government standards, regulatory and statutory requirements, and best practice; and are regularly reviewed and kept up to date for each service.</w:t>
      </w:r>
    </w:p>
    <w:p w:rsidR="00A956BD" w:rsidRPr="00A956BD" w:rsidRDefault="00A956BD" w:rsidP="00A956BD">
      <w:pPr>
        <w:widowControl w:val="0"/>
        <w:numPr>
          <w:ilvl w:val="1"/>
          <w:numId w:val="4"/>
        </w:numPr>
        <w:autoSpaceDE w:val="0"/>
        <w:autoSpaceDN w:val="0"/>
        <w:spacing w:before="8" w:after="0" w:line="264" w:lineRule="exact"/>
        <w:ind w:left="1134" w:right="680" w:hanging="283"/>
        <w:jc w:val="both"/>
        <w:rPr>
          <w:rFonts w:ascii="Calibri" w:eastAsia="Calibri" w:hAnsi="Calibri" w:cs="Calibri"/>
        </w:rPr>
      </w:pPr>
      <w:r w:rsidRPr="00A956BD">
        <w:rPr>
          <w:rFonts w:ascii="Calibri" w:eastAsia="Calibri" w:hAnsi="Calibri" w:cs="Calibri"/>
        </w:rPr>
        <w:t>Determines the activity currencies which are used to measure the work of EMS, NEPTS and EMRTS.</w:t>
      </w:r>
    </w:p>
    <w:p w:rsidR="00A956BD" w:rsidRPr="00A956BD" w:rsidRDefault="00A956BD" w:rsidP="00A956BD">
      <w:pPr>
        <w:widowControl w:val="0"/>
        <w:numPr>
          <w:ilvl w:val="1"/>
          <w:numId w:val="4"/>
        </w:numPr>
        <w:autoSpaceDE w:val="0"/>
        <w:autoSpaceDN w:val="0"/>
        <w:spacing w:before="8" w:after="0" w:line="264" w:lineRule="exact"/>
        <w:ind w:left="1134" w:right="680" w:hanging="283"/>
        <w:jc w:val="both"/>
        <w:rPr>
          <w:rFonts w:ascii="Calibri" w:eastAsia="Calibri" w:hAnsi="Calibri" w:cs="Calibri"/>
        </w:rPr>
      </w:pPr>
      <w:r w:rsidRPr="00A956BD">
        <w:rPr>
          <w:rFonts w:ascii="Calibri" w:eastAsia="Calibri" w:hAnsi="Calibri" w:cs="Calibri"/>
        </w:rPr>
        <w:t>Ensures the activity is regularly counted and reported, and is also used to support demand and capacity work for each service.</w:t>
      </w:r>
    </w:p>
    <w:p w:rsidR="00A956BD" w:rsidRPr="00A956BD" w:rsidRDefault="00A956BD" w:rsidP="00A956BD">
      <w:pPr>
        <w:widowControl w:val="0"/>
        <w:numPr>
          <w:ilvl w:val="1"/>
          <w:numId w:val="4"/>
        </w:numPr>
        <w:autoSpaceDE w:val="0"/>
        <w:autoSpaceDN w:val="0"/>
        <w:spacing w:before="8" w:after="0" w:line="264" w:lineRule="exact"/>
        <w:ind w:left="1134" w:right="680" w:hanging="283"/>
        <w:jc w:val="both"/>
        <w:rPr>
          <w:rFonts w:ascii="Calibri" w:eastAsia="Calibri" w:hAnsi="Calibri" w:cs="Calibri"/>
        </w:rPr>
      </w:pPr>
      <w:r w:rsidRPr="00A956BD">
        <w:rPr>
          <w:rFonts w:ascii="Calibri" w:eastAsia="Calibri" w:hAnsi="Calibri" w:cs="Calibri"/>
        </w:rPr>
        <w:t>Identifies all available resources for EMS, NEPTS and EMRTS, including revenue, capital and alternative funding sources.</w:t>
      </w:r>
    </w:p>
    <w:p w:rsidR="00A956BD" w:rsidRPr="00A956BD" w:rsidRDefault="00A956BD" w:rsidP="00A956BD">
      <w:pPr>
        <w:widowControl w:val="0"/>
        <w:numPr>
          <w:ilvl w:val="1"/>
          <w:numId w:val="4"/>
        </w:numPr>
        <w:autoSpaceDE w:val="0"/>
        <w:autoSpaceDN w:val="0"/>
        <w:spacing w:before="8" w:after="0" w:line="264" w:lineRule="exact"/>
        <w:ind w:left="1134" w:right="680" w:hanging="283"/>
        <w:jc w:val="both"/>
        <w:rPr>
          <w:rFonts w:ascii="Calibri" w:eastAsia="Calibri" w:hAnsi="Calibri" w:cs="Calibri"/>
        </w:rPr>
      </w:pPr>
      <w:r w:rsidRPr="00A956BD">
        <w:rPr>
          <w:rFonts w:ascii="Calibri" w:eastAsia="Calibri" w:hAnsi="Calibri" w:cs="Calibri"/>
        </w:rPr>
        <w:t>Ensures the resources and financial value payable is agreed between all applicable parties to all the frameworks. This includes each Health Board, WAST, Velindre NHS Trust, WHSSC and the Air Ambulance Charity.</w:t>
      </w:r>
    </w:p>
    <w:p w:rsidR="00A956BD" w:rsidRPr="00A956BD" w:rsidRDefault="00A956BD" w:rsidP="00A956BD">
      <w:pPr>
        <w:widowControl w:val="0"/>
        <w:numPr>
          <w:ilvl w:val="1"/>
          <w:numId w:val="4"/>
        </w:numPr>
        <w:autoSpaceDE w:val="0"/>
        <w:autoSpaceDN w:val="0"/>
        <w:spacing w:before="8" w:after="0" w:line="264" w:lineRule="exact"/>
        <w:ind w:left="1134" w:right="680" w:hanging="283"/>
        <w:jc w:val="both"/>
        <w:rPr>
          <w:rFonts w:ascii="Calibri" w:eastAsia="Calibri" w:hAnsi="Calibri" w:cs="Calibri"/>
        </w:rPr>
      </w:pPr>
      <w:r w:rsidRPr="00A956BD">
        <w:rPr>
          <w:rFonts w:ascii="Calibri" w:eastAsia="Calibri" w:hAnsi="Calibri" w:cs="Calibri"/>
        </w:rPr>
        <w:t>Leads the designing of the service model(s) to operate across EMS, NEPTS and EMRTS. Ensuring that these are presented in a way which is understandable to the public and patients.</w:t>
      </w:r>
    </w:p>
    <w:p w:rsidR="00A956BD" w:rsidRPr="00A956BD" w:rsidRDefault="00A956BD" w:rsidP="00A956BD">
      <w:pPr>
        <w:widowControl w:val="0"/>
        <w:numPr>
          <w:ilvl w:val="1"/>
          <w:numId w:val="4"/>
        </w:numPr>
        <w:autoSpaceDE w:val="0"/>
        <w:autoSpaceDN w:val="0"/>
        <w:spacing w:before="8" w:after="0" w:line="264" w:lineRule="exact"/>
        <w:ind w:left="1134" w:right="680" w:hanging="283"/>
        <w:jc w:val="both"/>
        <w:rPr>
          <w:rFonts w:ascii="Calibri" w:eastAsia="Calibri" w:hAnsi="Calibri" w:cs="Calibri"/>
        </w:rPr>
      </w:pPr>
      <w:r w:rsidRPr="00A956BD">
        <w:rPr>
          <w:rFonts w:ascii="Calibri" w:eastAsia="Calibri" w:hAnsi="Calibri" w:cs="Calibri"/>
        </w:rPr>
        <w:t>Ensures the component parts of the service model(s) are understood and agreed, and the activity, resources and performance of each service is measured and performance managed.</w:t>
      </w:r>
    </w:p>
    <w:p w:rsidR="00A956BD" w:rsidRPr="00A956BD" w:rsidRDefault="00A956BD" w:rsidP="00A956BD">
      <w:pPr>
        <w:widowControl w:val="0"/>
        <w:numPr>
          <w:ilvl w:val="1"/>
          <w:numId w:val="4"/>
        </w:numPr>
        <w:autoSpaceDE w:val="0"/>
        <w:autoSpaceDN w:val="0"/>
        <w:spacing w:before="8" w:after="0" w:line="264" w:lineRule="exact"/>
        <w:ind w:left="1134" w:right="680" w:hanging="283"/>
        <w:jc w:val="both"/>
        <w:rPr>
          <w:rFonts w:ascii="Calibri" w:eastAsia="Calibri" w:hAnsi="Calibri" w:cs="Calibri"/>
        </w:rPr>
      </w:pPr>
      <w:r w:rsidRPr="00A956BD">
        <w:rPr>
          <w:rFonts w:ascii="Calibri" w:eastAsia="Calibri" w:hAnsi="Calibri" w:cs="Calibri"/>
        </w:rPr>
        <w:t>Articulates how the interactions between professionals between parties to the frameworks across EMS, NEPTS and EMRTS operate to support delivery of the service model.</w:t>
      </w:r>
    </w:p>
    <w:p w:rsidR="00A956BD" w:rsidRPr="00A956BD" w:rsidRDefault="00A956BD" w:rsidP="00A956BD">
      <w:pPr>
        <w:widowControl w:val="0"/>
        <w:numPr>
          <w:ilvl w:val="1"/>
          <w:numId w:val="4"/>
        </w:numPr>
        <w:autoSpaceDE w:val="0"/>
        <w:autoSpaceDN w:val="0"/>
        <w:spacing w:before="8" w:after="0" w:line="264" w:lineRule="exact"/>
        <w:ind w:left="1134" w:right="680" w:hanging="283"/>
        <w:jc w:val="both"/>
        <w:rPr>
          <w:rFonts w:ascii="Calibri" w:eastAsia="Calibri" w:hAnsi="Calibri" w:cs="Calibri"/>
        </w:rPr>
      </w:pPr>
      <w:r w:rsidRPr="00A956BD">
        <w:rPr>
          <w:rFonts w:ascii="Calibri" w:eastAsia="Calibri" w:hAnsi="Calibri" w:cs="Calibri"/>
        </w:rPr>
        <w:t>Defines performance measures to evidence whether the standards for each of the EMS, NEPTS and EMRTS are being met and that a balance is being achieved between improved clinical outcomes, better patient experience and value for money and are regularly reported and acted upon to ensure continuous improvement.</w:t>
      </w:r>
    </w:p>
    <w:p w:rsidR="00A956BD" w:rsidRPr="00A956BD" w:rsidRDefault="00A956BD" w:rsidP="00A956BD">
      <w:pPr>
        <w:widowControl w:val="0"/>
        <w:autoSpaceDE w:val="0"/>
        <w:autoSpaceDN w:val="0"/>
        <w:spacing w:before="8" w:after="0" w:line="264" w:lineRule="exact"/>
        <w:ind w:left="567" w:right="680"/>
        <w:jc w:val="both"/>
        <w:rPr>
          <w:rFonts w:ascii="Calibri" w:eastAsia="Calibri" w:hAnsi="Calibri" w:cs="Calibri"/>
        </w:rPr>
      </w:pPr>
    </w:p>
    <w:p w:rsidR="00A956BD" w:rsidRPr="00A956BD" w:rsidRDefault="00A956BD" w:rsidP="00A956BD">
      <w:pPr>
        <w:keepNext/>
        <w:keepLines/>
        <w:numPr>
          <w:ilvl w:val="2"/>
          <w:numId w:val="0"/>
        </w:numPr>
        <w:spacing w:before="40" w:after="0"/>
        <w:ind w:left="1287" w:right="680" w:hanging="720"/>
        <w:outlineLvl w:val="2"/>
        <w:rPr>
          <w:rFonts w:asciiTheme="majorHAnsi" w:eastAsia="Cambria" w:hAnsiTheme="majorHAnsi" w:cstheme="majorBidi"/>
          <w:color w:val="1F4D78" w:themeColor="accent1" w:themeShade="7F"/>
          <w:sz w:val="28"/>
          <w:szCs w:val="24"/>
        </w:rPr>
      </w:pPr>
      <w:r w:rsidRPr="00A956BD">
        <w:rPr>
          <w:rFonts w:asciiTheme="majorHAnsi" w:eastAsia="Cambria" w:hAnsiTheme="majorHAnsi" w:cstheme="majorBidi"/>
          <w:color w:val="1F4D78" w:themeColor="accent1" w:themeShade="7F"/>
          <w:sz w:val="28"/>
          <w:szCs w:val="24"/>
        </w:rPr>
        <w:t>National Collaborative Quality and Delivery Frameworks</w:t>
      </w:r>
    </w:p>
    <w:p w:rsidR="00A956BD" w:rsidRPr="00A956BD" w:rsidRDefault="00A956BD" w:rsidP="00A956BD">
      <w:pPr>
        <w:widowControl w:val="0"/>
        <w:autoSpaceDE w:val="0"/>
        <w:autoSpaceDN w:val="0"/>
        <w:spacing w:before="8" w:after="0" w:line="264" w:lineRule="exact"/>
        <w:ind w:left="567" w:right="680"/>
        <w:jc w:val="both"/>
        <w:rPr>
          <w:rFonts w:ascii="Calibri" w:eastAsia="Calibri" w:hAnsi="Calibri" w:cs="Calibri"/>
        </w:rPr>
      </w:pPr>
      <w:r w:rsidRPr="00A956BD">
        <w:rPr>
          <w:rFonts w:ascii="Calibri" w:eastAsia="Calibri" w:hAnsi="Calibri" w:cs="Calibri"/>
          <w:noProof/>
          <w:lang w:eastAsia="en-GB"/>
        </w:rPr>
        <w:drawing>
          <wp:anchor distT="0" distB="0" distL="114300" distR="114300" simplePos="0" relativeHeight="251662336" behindDoc="1" locked="0" layoutInCell="1" allowOverlap="1" wp14:anchorId="3167B240" wp14:editId="722DFE77">
            <wp:simplePos x="0" y="0"/>
            <wp:positionH relativeFrom="margin">
              <wp:posOffset>3832225</wp:posOffset>
            </wp:positionH>
            <wp:positionV relativeFrom="paragraph">
              <wp:posOffset>14605</wp:posOffset>
            </wp:positionV>
            <wp:extent cx="2682240" cy="934085"/>
            <wp:effectExtent l="0" t="0" r="3810" b="0"/>
            <wp:wrapSquare wrapText="bothSides"/>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82240" cy="9340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56BD">
        <w:rPr>
          <w:rFonts w:ascii="Calibri" w:eastAsia="Calibri" w:hAnsi="Calibri" w:cs="Calibri"/>
        </w:rPr>
        <w:t xml:space="preserve">The NCCU is responsible to EASC via the CASC for the creation, development, operation, refresh and evaluation of National Collaborative Commissioning: Quality &amp; Delivery Frameworks for ambulance services within NHS Wales this includes:  </w:t>
      </w:r>
    </w:p>
    <w:p w:rsidR="00A956BD" w:rsidRPr="00A956BD" w:rsidRDefault="00A956BD" w:rsidP="00A956BD">
      <w:pPr>
        <w:widowControl w:val="0"/>
        <w:numPr>
          <w:ilvl w:val="0"/>
          <w:numId w:val="3"/>
        </w:numPr>
        <w:autoSpaceDE w:val="0"/>
        <w:autoSpaceDN w:val="0"/>
        <w:spacing w:before="8" w:after="0" w:line="264" w:lineRule="exact"/>
        <w:ind w:left="1134" w:right="680" w:hanging="283"/>
        <w:rPr>
          <w:rFonts w:ascii="Calibri" w:eastAsia="Calibri" w:hAnsi="Calibri" w:cs="Calibri"/>
        </w:rPr>
      </w:pPr>
      <w:r w:rsidRPr="00A956BD">
        <w:rPr>
          <w:rFonts w:ascii="Calibri" w:eastAsia="Calibri" w:hAnsi="Calibri" w:cs="Calibri"/>
        </w:rPr>
        <w:t xml:space="preserve">Emergency Ambulance Services (EMS) </w:t>
      </w:r>
    </w:p>
    <w:p w:rsidR="00A956BD" w:rsidRPr="00A956BD" w:rsidRDefault="00A956BD" w:rsidP="00A956BD">
      <w:pPr>
        <w:widowControl w:val="0"/>
        <w:numPr>
          <w:ilvl w:val="0"/>
          <w:numId w:val="3"/>
        </w:numPr>
        <w:autoSpaceDE w:val="0"/>
        <w:autoSpaceDN w:val="0"/>
        <w:spacing w:before="8" w:after="0" w:line="264" w:lineRule="exact"/>
        <w:ind w:left="1134" w:right="680" w:hanging="283"/>
        <w:rPr>
          <w:rFonts w:ascii="Calibri" w:eastAsia="Calibri" w:hAnsi="Calibri" w:cs="Calibri"/>
        </w:rPr>
      </w:pPr>
      <w:r w:rsidRPr="00A956BD">
        <w:rPr>
          <w:rFonts w:ascii="Calibri" w:eastAsia="Calibri" w:hAnsi="Calibri" w:cs="Calibri"/>
        </w:rPr>
        <w:t xml:space="preserve">Non-Emergency Patient Transport Services (NEPTS) </w:t>
      </w:r>
      <w:r w:rsidRPr="00A956BD">
        <w:rPr>
          <w:rFonts w:ascii="Calibri" w:eastAsia="Calibri" w:hAnsi="Calibri" w:cs="Calibri"/>
        </w:rPr>
        <w:tab/>
      </w:r>
      <w:r w:rsidRPr="00A956BD">
        <w:rPr>
          <w:rFonts w:ascii="Calibri" w:eastAsia="Calibri" w:hAnsi="Calibri" w:cs="Calibri"/>
        </w:rPr>
        <w:tab/>
      </w:r>
      <w:r w:rsidRPr="00A956BD">
        <w:rPr>
          <w:rFonts w:ascii="Calibri" w:eastAsia="Calibri" w:hAnsi="Calibri" w:cs="Calibri"/>
        </w:rPr>
        <w:tab/>
      </w:r>
      <w:r w:rsidRPr="00A956BD">
        <w:rPr>
          <w:rFonts w:ascii="Calibri" w:eastAsia="Calibri" w:hAnsi="Calibri" w:cs="Calibri"/>
        </w:rPr>
        <w:tab/>
      </w:r>
      <w:r w:rsidRPr="00A956BD">
        <w:rPr>
          <w:sz w:val="18"/>
          <w:szCs w:val="18"/>
        </w:rPr>
        <w:t>Figure 17: CAREMORE® Logo</w:t>
      </w:r>
    </w:p>
    <w:p w:rsidR="00A956BD" w:rsidRPr="00A956BD" w:rsidRDefault="00A956BD" w:rsidP="00A956BD">
      <w:pPr>
        <w:widowControl w:val="0"/>
        <w:numPr>
          <w:ilvl w:val="0"/>
          <w:numId w:val="3"/>
        </w:numPr>
        <w:autoSpaceDE w:val="0"/>
        <w:autoSpaceDN w:val="0"/>
        <w:spacing w:before="8" w:after="0" w:line="264" w:lineRule="exact"/>
        <w:ind w:left="1134" w:right="680" w:hanging="283"/>
        <w:rPr>
          <w:rFonts w:ascii="Calibri" w:eastAsia="Calibri" w:hAnsi="Calibri" w:cs="Calibri"/>
        </w:rPr>
      </w:pPr>
      <w:r w:rsidRPr="00A956BD">
        <w:rPr>
          <w:rFonts w:ascii="Calibri" w:eastAsia="Calibri" w:hAnsi="Calibri" w:cs="Calibri"/>
        </w:rPr>
        <w:t xml:space="preserve">Emergency Medical Retrieval and transfer Services (EMRTS) </w:t>
      </w:r>
    </w:p>
    <w:p w:rsidR="00A956BD" w:rsidRPr="00A956BD" w:rsidRDefault="00A956BD" w:rsidP="00A956BD">
      <w:pPr>
        <w:widowControl w:val="0"/>
        <w:autoSpaceDE w:val="0"/>
        <w:autoSpaceDN w:val="0"/>
        <w:spacing w:before="8" w:after="0" w:line="264" w:lineRule="exact"/>
        <w:ind w:left="567" w:right="680"/>
        <w:rPr>
          <w:rFonts w:ascii="Calibri" w:eastAsia="Calibri" w:hAnsi="Calibri" w:cs="Calibri"/>
        </w:rPr>
      </w:pPr>
    </w:p>
    <w:p w:rsidR="00A956BD" w:rsidRPr="00A956BD" w:rsidRDefault="00A956BD" w:rsidP="00A956BD">
      <w:pPr>
        <w:widowControl w:val="0"/>
        <w:autoSpaceDE w:val="0"/>
        <w:autoSpaceDN w:val="0"/>
        <w:spacing w:before="8" w:after="0" w:line="264" w:lineRule="exact"/>
        <w:ind w:left="567" w:right="680"/>
        <w:jc w:val="both"/>
        <w:rPr>
          <w:rFonts w:ascii="Calibri" w:eastAsia="Calibri" w:hAnsi="Calibri" w:cs="Calibri"/>
        </w:rPr>
      </w:pPr>
      <w:r w:rsidRPr="00A956BD">
        <w:rPr>
          <w:rFonts w:ascii="Calibri" w:eastAsia="Calibri" w:hAnsi="Calibri" w:cs="Calibri"/>
        </w:rPr>
        <w:t xml:space="preserve">National Collaborative Commissioning Frameworks are developed and maintained using the award winning CAREMORE® methodology. </w:t>
      </w:r>
    </w:p>
    <w:p w:rsidR="00A956BD" w:rsidRPr="00A956BD" w:rsidRDefault="00A956BD" w:rsidP="00A956BD">
      <w:pPr>
        <w:widowControl w:val="0"/>
        <w:autoSpaceDE w:val="0"/>
        <w:autoSpaceDN w:val="0"/>
        <w:spacing w:before="8" w:after="0" w:line="264" w:lineRule="exact"/>
        <w:ind w:left="567" w:right="680"/>
        <w:jc w:val="both"/>
        <w:rPr>
          <w:rFonts w:ascii="Cambria" w:eastAsia="Cambria" w:hAnsi="Cambria" w:cs="Cambria"/>
          <w:color w:val="243F60"/>
          <w:sz w:val="28"/>
          <w:szCs w:val="28"/>
          <w:vertAlign w:val="superscript"/>
        </w:rPr>
      </w:pPr>
    </w:p>
    <w:p w:rsidR="00A956BD" w:rsidRPr="00A956BD" w:rsidRDefault="00A956BD" w:rsidP="00A956BD">
      <w:pPr>
        <w:widowControl w:val="0"/>
        <w:numPr>
          <w:ilvl w:val="3"/>
          <w:numId w:val="0"/>
        </w:numPr>
        <w:autoSpaceDE w:val="0"/>
        <w:autoSpaceDN w:val="0"/>
        <w:spacing w:after="0" w:line="240" w:lineRule="auto"/>
        <w:ind w:left="1429" w:right="680"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 xml:space="preserve">National Collaborative Commissioning Quality &amp; Delivery Framework: EMS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noProof/>
          <w:lang w:eastAsia="en-GB"/>
        </w:rPr>
        <w:drawing>
          <wp:anchor distT="0" distB="0" distL="114300" distR="114300" simplePos="0" relativeHeight="251661312" behindDoc="1" locked="0" layoutInCell="1" allowOverlap="1" wp14:anchorId="6988046D" wp14:editId="221ECAB4">
            <wp:simplePos x="0" y="0"/>
            <wp:positionH relativeFrom="margin">
              <wp:posOffset>2523490</wp:posOffset>
            </wp:positionH>
            <wp:positionV relativeFrom="paragraph">
              <wp:posOffset>170180</wp:posOffset>
            </wp:positionV>
            <wp:extent cx="3993515" cy="1212850"/>
            <wp:effectExtent l="0" t="0" r="6985" b="6350"/>
            <wp:wrapTight wrapText="bothSides">
              <wp:wrapPolygon edited="0">
                <wp:start x="0" y="0"/>
                <wp:lineTo x="0" y="21374"/>
                <wp:lineTo x="21535" y="21374"/>
                <wp:lineTo x="21535" y="0"/>
                <wp:lineTo x="0" y="0"/>
              </wp:wrapPolygon>
            </wp:wrapTight>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993515" cy="1212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56BD">
        <w:rPr>
          <w:rFonts w:ascii="Calibri" w:eastAsia="Calibri" w:hAnsi="Calibri" w:cs="Calibri"/>
        </w:rPr>
        <w:t>Commissioning value of £</w:t>
      </w:r>
      <w:r w:rsidRPr="00C56FC0">
        <w:rPr>
          <w:rFonts w:ascii="Calibri" w:eastAsia="Calibri" w:hAnsi="Calibri" w:cs="Calibri"/>
        </w:rPr>
        <w:t>158.809m</w:t>
      </w:r>
      <w:r w:rsidRPr="00A956BD">
        <w:rPr>
          <w:rFonts w:ascii="Calibri" w:eastAsia="Calibri" w:hAnsi="Calibri" w:cs="Calibri"/>
        </w:rPr>
        <w:t>. The NCCU is responsible</w:t>
      </w:r>
      <w:r w:rsidRPr="00A956BD">
        <w:rPr>
          <w:rFonts w:ascii="Calibri" w:eastAsia="Calibri" w:hAnsi="Calibri" w:cs="Calibri"/>
          <w:spacing w:val="-9"/>
        </w:rPr>
        <w:t xml:space="preserve"> </w:t>
      </w:r>
      <w:r w:rsidRPr="00A956BD">
        <w:rPr>
          <w:rFonts w:ascii="Calibri" w:eastAsia="Calibri" w:hAnsi="Calibri" w:cs="Calibri"/>
        </w:rPr>
        <w:t>to</w:t>
      </w:r>
      <w:r w:rsidRPr="00A956BD">
        <w:rPr>
          <w:rFonts w:ascii="Calibri" w:eastAsia="Calibri" w:hAnsi="Calibri" w:cs="Calibri"/>
          <w:spacing w:val="-8"/>
        </w:rPr>
        <w:t xml:space="preserve"> </w:t>
      </w:r>
      <w:r w:rsidRPr="00A956BD">
        <w:rPr>
          <w:rFonts w:ascii="Calibri" w:eastAsia="Calibri" w:hAnsi="Calibri" w:cs="Calibri"/>
        </w:rPr>
        <w:t>EASC</w:t>
      </w:r>
      <w:r w:rsidRPr="00A956BD">
        <w:rPr>
          <w:rFonts w:ascii="Calibri" w:eastAsia="Calibri" w:hAnsi="Calibri" w:cs="Calibri"/>
          <w:spacing w:val="-7"/>
        </w:rPr>
        <w:t xml:space="preserve"> </w:t>
      </w:r>
      <w:r w:rsidRPr="00A956BD">
        <w:rPr>
          <w:rFonts w:ascii="Calibri" w:eastAsia="Calibri" w:hAnsi="Calibri" w:cs="Calibri"/>
        </w:rPr>
        <w:t>via</w:t>
      </w:r>
      <w:r w:rsidRPr="00A956BD">
        <w:rPr>
          <w:rFonts w:ascii="Calibri" w:eastAsia="Calibri" w:hAnsi="Calibri" w:cs="Calibri"/>
          <w:spacing w:val="-9"/>
        </w:rPr>
        <w:t xml:space="preserve"> </w:t>
      </w:r>
      <w:r w:rsidRPr="00A956BD">
        <w:rPr>
          <w:rFonts w:ascii="Calibri" w:eastAsia="Calibri" w:hAnsi="Calibri" w:cs="Calibri"/>
        </w:rPr>
        <w:t>the</w:t>
      </w:r>
      <w:r w:rsidRPr="00A956BD">
        <w:rPr>
          <w:rFonts w:ascii="Calibri" w:eastAsia="Calibri" w:hAnsi="Calibri" w:cs="Calibri"/>
          <w:spacing w:val="-9"/>
        </w:rPr>
        <w:t xml:space="preserve"> </w:t>
      </w:r>
      <w:r w:rsidRPr="00A956BD">
        <w:rPr>
          <w:rFonts w:ascii="Calibri" w:eastAsia="Calibri" w:hAnsi="Calibri" w:cs="Calibri"/>
        </w:rPr>
        <w:t>CASC</w:t>
      </w:r>
      <w:r w:rsidRPr="00A956BD">
        <w:rPr>
          <w:rFonts w:ascii="Calibri" w:eastAsia="Calibri" w:hAnsi="Calibri" w:cs="Calibri"/>
          <w:spacing w:val="-7"/>
        </w:rPr>
        <w:t xml:space="preserve"> </w:t>
      </w:r>
      <w:r w:rsidRPr="00A956BD">
        <w:rPr>
          <w:rFonts w:ascii="Calibri" w:eastAsia="Calibri" w:hAnsi="Calibri" w:cs="Calibri"/>
        </w:rPr>
        <w:t>for</w:t>
      </w:r>
      <w:r w:rsidRPr="00A956BD">
        <w:rPr>
          <w:rFonts w:ascii="Calibri" w:eastAsia="Calibri" w:hAnsi="Calibri" w:cs="Calibri"/>
          <w:spacing w:val="-7"/>
        </w:rPr>
        <w:t xml:space="preserve"> </w:t>
      </w:r>
      <w:r w:rsidRPr="00A956BD">
        <w:rPr>
          <w:rFonts w:ascii="Calibri" w:eastAsia="Calibri" w:hAnsi="Calibri" w:cs="Calibri"/>
        </w:rPr>
        <w:t>the</w:t>
      </w:r>
      <w:r w:rsidRPr="00A956BD">
        <w:rPr>
          <w:rFonts w:ascii="Calibri" w:eastAsia="Calibri" w:hAnsi="Calibri" w:cs="Calibri"/>
          <w:spacing w:val="-6"/>
        </w:rPr>
        <w:t xml:space="preserve"> </w:t>
      </w:r>
      <w:r w:rsidRPr="00A956BD">
        <w:rPr>
          <w:rFonts w:ascii="Calibri" w:eastAsia="Calibri" w:hAnsi="Calibri" w:cs="Calibri"/>
        </w:rPr>
        <w:t>creation,</w:t>
      </w:r>
      <w:r w:rsidRPr="00A956BD">
        <w:rPr>
          <w:rFonts w:ascii="Calibri" w:eastAsia="Calibri" w:hAnsi="Calibri" w:cs="Calibri"/>
          <w:spacing w:val="-9"/>
        </w:rPr>
        <w:t xml:space="preserve"> </w:t>
      </w:r>
      <w:r w:rsidRPr="00A956BD">
        <w:rPr>
          <w:rFonts w:ascii="Calibri" w:eastAsia="Calibri" w:hAnsi="Calibri" w:cs="Calibri"/>
        </w:rPr>
        <w:t>development,</w:t>
      </w:r>
      <w:r w:rsidRPr="00A956BD">
        <w:rPr>
          <w:rFonts w:ascii="Calibri" w:eastAsia="Calibri" w:hAnsi="Calibri" w:cs="Calibri"/>
          <w:spacing w:val="-9"/>
        </w:rPr>
        <w:t xml:space="preserve"> </w:t>
      </w:r>
      <w:r w:rsidRPr="00A956BD">
        <w:rPr>
          <w:rFonts w:ascii="Calibri" w:eastAsia="Calibri" w:hAnsi="Calibri" w:cs="Calibri"/>
        </w:rPr>
        <w:t>operation,</w:t>
      </w:r>
      <w:r w:rsidRPr="00A956BD">
        <w:rPr>
          <w:rFonts w:ascii="Calibri" w:eastAsia="Calibri" w:hAnsi="Calibri" w:cs="Calibri"/>
          <w:spacing w:val="-7"/>
        </w:rPr>
        <w:t xml:space="preserve"> </w:t>
      </w:r>
      <w:r w:rsidRPr="00A956BD">
        <w:rPr>
          <w:rFonts w:ascii="Calibri" w:eastAsia="Calibri" w:hAnsi="Calibri" w:cs="Calibri"/>
        </w:rPr>
        <w:t>refresh</w:t>
      </w:r>
      <w:r w:rsidRPr="00A956BD">
        <w:rPr>
          <w:rFonts w:ascii="Calibri" w:eastAsia="Calibri" w:hAnsi="Calibri" w:cs="Calibri"/>
          <w:spacing w:val="-7"/>
        </w:rPr>
        <w:t xml:space="preserve"> </w:t>
      </w:r>
      <w:r w:rsidRPr="00A956BD">
        <w:rPr>
          <w:rFonts w:ascii="Calibri" w:eastAsia="Calibri" w:hAnsi="Calibri" w:cs="Calibri"/>
        </w:rPr>
        <w:t>and</w:t>
      </w:r>
      <w:r w:rsidRPr="00A956BD">
        <w:rPr>
          <w:rFonts w:ascii="Calibri" w:eastAsia="Calibri" w:hAnsi="Calibri" w:cs="Calibri"/>
          <w:spacing w:val="-7"/>
        </w:rPr>
        <w:t xml:space="preserve"> </w:t>
      </w:r>
      <w:r w:rsidRPr="00A956BD">
        <w:rPr>
          <w:rFonts w:ascii="Calibri" w:eastAsia="Calibri" w:hAnsi="Calibri" w:cs="Calibri"/>
        </w:rPr>
        <w:t>evaluation</w:t>
      </w:r>
      <w:r w:rsidRPr="00A956BD">
        <w:rPr>
          <w:rFonts w:ascii="Calibri" w:eastAsia="Calibri" w:hAnsi="Calibri" w:cs="Calibri"/>
          <w:spacing w:val="-7"/>
        </w:rPr>
        <w:t xml:space="preserve"> </w:t>
      </w:r>
      <w:r w:rsidRPr="00A956BD">
        <w:rPr>
          <w:rFonts w:ascii="Calibri" w:eastAsia="Calibri" w:hAnsi="Calibri" w:cs="Calibri"/>
        </w:rPr>
        <w:t>of CAREMORE® National</w:t>
      </w:r>
      <w:r w:rsidRPr="00A956BD">
        <w:rPr>
          <w:rFonts w:ascii="Calibri" w:eastAsia="Calibri" w:hAnsi="Calibri" w:cs="Calibri"/>
          <w:spacing w:val="-9"/>
        </w:rPr>
        <w:t xml:space="preserve"> </w:t>
      </w:r>
      <w:r w:rsidRPr="00A956BD">
        <w:rPr>
          <w:rFonts w:ascii="Calibri" w:eastAsia="Calibri" w:hAnsi="Calibri" w:cs="Calibri"/>
        </w:rPr>
        <w:t>Collaborative</w:t>
      </w:r>
      <w:r w:rsidRPr="00A956BD">
        <w:rPr>
          <w:rFonts w:ascii="Calibri" w:eastAsia="Calibri" w:hAnsi="Calibri" w:cs="Calibri"/>
          <w:spacing w:val="-8"/>
        </w:rPr>
        <w:t xml:space="preserve"> </w:t>
      </w:r>
      <w:r w:rsidRPr="00A956BD">
        <w:rPr>
          <w:rFonts w:ascii="Calibri" w:eastAsia="Calibri" w:hAnsi="Calibri" w:cs="Calibri"/>
        </w:rPr>
        <w:t>Commissioning:</w:t>
      </w:r>
      <w:r w:rsidRPr="00A956BD">
        <w:rPr>
          <w:rFonts w:ascii="Calibri" w:eastAsia="Calibri" w:hAnsi="Calibri" w:cs="Calibri"/>
          <w:spacing w:val="-8"/>
        </w:rPr>
        <w:t xml:space="preserve"> </w:t>
      </w:r>
      <w:r w:rsidRPr="00A956BD">
        <w:rPr>
          <w:rFonts w:ascii="Calibri" w:eastAsia="Calibri" w:hAnsi="Calibri" w:cs="Calibri"/>
        </w:rPr>
        <w:t>Quality</w:t>
      </w:r>
      <w:r w:rsidRPr="00A956BD">
        <w:rPr>
          <w:rFonts w:ascii="Calibri" w:eastAsia="Calibri" w:hAnsi="Calibri" w:cs="Calibri"/>
          <w:spacing w:val="-10"/>
        </w:rPr>
        <w:t xml:space="preserve"> </w:t>
      </w:r>
      <w:r w:rsidRPr="00A956BD">
        <w:rPr>
          <w:rFonts w:ascii="Calibri" w:eastAsia="Calibri" w:hAnsi="Calibri" w:cs="Calibri"/>
        </w:rPr>
        <w:t>&amp;</w:t>
      </w:r>
      <w:r w:rsidRPr="00A956BD">
        <w:rPr>
          <w:rFonts w:ascii="Calibri" w:eastAsia="Calibri" w:hAnsi="Calibri" w:cs="Calibri"/>
          <w:spacing w:val="-10"/>
        </w:rPr>
        <w:t xml:space="preserve"> </w:t>
      </w:r>
      <w:r w:rsidRPr="00A956BD">
        <w:rPr>
          <w:rFonts w:ascii="Calibri" w:eastAsia="Calibri" w:hAnsi="Calibri" w:cs="Calibri"/>
        </w:rPr>
        <w:t>Delivery</w:t>
      </w:r>
      <w:r w:rsidRPr="00A956BD">
        <w:rPr>
          <w:rFonts w:ascii="Calibri" w:eastAsia="Calibri" w:hAnsi="Calibri" w:cs="Calibri"/>
          <w:spacing w:val="-8"/>
        </w:rPr>
        <w:t xml:space="preserve"> </w:t>
      </w:r>
      <w:r w:rsidRPr="00A956BD">
        <w:rPr>
          <w:rFonts w:ascii="Calibri" w:eastAsia="Calibri" w:hAnsi="Calibri" w:cs="Calibri"/>
        </w:rPr>
        <w:t>Frameworks</w:t>
      </w:r>
      <w:r w:rsidRPr="00A956BD">
        <w:rPr>
          <w:rFonts w:ascii="Calibri" w:eastAsia="Calibri" w:hAnsi="Calibri" w:cs="Calibri"/>
          <w:spacing w:val="-9"/>
        </w:rPr>
        <w:t xml:space="preserve"> </w:t>
      </w:r>
      <w:r w:rsidRPr="00A956BD">
        <w:rPr>
          <w:rFonts w:ascii="Calibri" w:eastAsia="Calibri" w:hAnsi="Calibri" w:cs="Calibri"/>
        </w:rPr>
        <w:t>for</w:t>
      </w:r>
      <w:r w:rsidRPr="00A956BD">
        <w:rPr>
          <w:rFonts w:ascii="Calibri" w:eastAsia="Calibri" w:hAnsi="Calibri" w:cs="Calibri"/>
          <w:spacing w:val="-11"/>
        </w:rPr>
        <w:t xml:space="preserve"> Emergency A</w:t>
      </w:r>
      <w:r w:rsidRPr="00A956BD">
        <w:rPr>
          <w:rFonts w:ascii="Calibri" w:eastAsia="Calibri" w:hAnsi="Calibri" w:cs="Calibri"/>
        </w:rPr>
        <w:t>mbulance</w:t>
      </w:r>
      <w:r w:rsidRPr="00A956BD">
        <w:rPr>
          <w:rFonts w:ascii="Calibri" w:eastAsia="Calibri" w:hAnsi="Calibri" w:cs="Calibri"/>
          <w:spacing w:val="-8"/>
        </w:rPr>
        <w:t xml:space="preserve"> </w:t>
      </w:r>
      <w:r w:rsidRPr="00A956BD">
        <w:rPr>
          <w:rFonts w:ascii="Calibri" w:eastAsia="Calibri" w:hAnsi="Calibri" w:cs="Calibri"/>
        </w:rPr>
        <w:t>Services</w:t>
      </w:r>
      <w:r w:rsidRPr="00A956BD">
        <w:rPr>
          <w:rFonts w:ascii="Calibri" w:eastAsia="Calibri" w:hAnsi="Calibri" w:cs="Calibri"/>
          <w:spacing w:val="-8"/>
        </w:rPr>
        <w:t xml:space="preserve"> </w:t>
      </w:r>
      <w:r w:rsidRPr="00A956BD">
        <w:rPr>
          <w:rFonts w:ascii="Calibri" w:eastAsia="Calibri" w:hAnsi="Calibri" w:cs="Calibri"/>
        </w:rPr>
        <w:t xml:space="preserve">within NHS Wales. </w:t>
      </w:r>
      <w:r w:rsidRPr="00A956BD">
        <w:rPr>
          <w:rFonts w:ascii="Calibri" w:eastAsia="Calibri" w:hAnsi="Calibri" w:cs="Calibri"/>
        </w:rPr>
        <w:tab/>
      </w:r>
      <w:r w:rsidRPr="00A956BD">
        <w:rPr>
          <w:rFonts w:ascii="Calibri" w:eastAsia="Calibri" w:hAnsi="Calibri" w:cs="Calibri"/>
        </w:rPr>
        <w:tab/>
      </w:r>
      <w:r w:rsidRPr="00A956BD">
        <w:rPr>
          <w:rFonts w:ascii="Calibri" w:eastAsia="Calibri" w:hAnsi="Calibri" w:cs="Calibri"/>
        </w:rPr>
        <w:tab/>
      </w:r>
      <w:r w:rsidRPr="00A956BD">
        <w:rPr>
          <w:rFonts w:ascii="Calibri" w:eastAsia="Calibri" w:hAnsi="Calibri" w:cs="Calibri"/>
        </w:rPr>
        <w:tab/>
      </w:r>
      <w:r w:rsidRPr="00A956BD">
        <w:rPr>
          <w:rFonts w:ascii="Calibri" w:eastAsia="Calibri" w:hAnsi="Calibri" w:cs="Calibri"/>
        </w:rPr>
        <w:tab/>
      </w:r>
      <w:r w:rsidRPr="00A956BD">
        <w:rPr>
          <w:rFonts w:ascii="Calibri" w:eastAsia="Calibri" w:hAnsi="Calibri" w:cs="Calibri"/>
        </w:rPr>
        <w:tab/>
      </w:r>
      <w:r w:rsidRPr="00A956BD">
        <w:rPr>
          <w:sz w:val="18"/>
          <w:szCs w:val="18"/>
        </w:rPr>
        <w:t>Figure 18: 5 step Emergency Ambulance Patient Care Pathway</w:t>
      </w:r>
    </w:p>
    <w:p w:rsidR="00A956BD" w:rsidRPr="00A956BD" w:rsidRDefault="00A956BD" w:rsidP="00A956BD">
      <w:pPr>
        <w:ind w:left="567" w:right="680"/>
      </w:pPr>
    </w:p>
    <w:p w:rsidR="00A956BD" w:rsidRPr="00A956BD" w:rsidRDefault="00A956BD" w:rsidP="00A956BD">
      <w:pPr>
        <w:widowControl w:val="0"/>
        <w:numPr>
          <w:ilvl w:val="3"/>
          <w:numId w:val="0"/>
        </w:numPr>
        <w:autoSpaceDE w:val="0"/>
        <w:autoSpaceDN w:val="0"/>
        <w:spacing w:after="0" w:line="240" w:lineRule="auto"/>
        <w:ind w:left="1429" w:right="680"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lastRenderedPageBreak/>
        <w:t xml:space="preserve">National Collaborative Commissioning Quality &amp; Delivery Framework: NEPTS </w:t>
      </w:r>
    </w:p>
    <w:p w:rsidR="00A956BD" w:rsidRPr="00A956BD" w:rsidRDefault="00A956BD" w:rsidP="00A956BD">
      <w:pPr>
        <w:widowControl w:val="0"/>
        <w:autoSpaceDE w:val="0"/>
        <w:autoSpaceDN w:val="0"/>
        <w:spacing w:after="0" w:line="240" w:lineRule="auto"/>
        <w:ind w:left="567" w:right="680"/>
        <w:jc w:val="both"/>
        <w:rPr>
          <w:sz w:val="18"/>
          <w:szCs w:val="18"/>
        </w:rPr>
      </w:pPr>
      <w:r w:rsidRPr="00A956BD">
        <w:rPr>
          <w:rFonts w:ascii="Calibri" w:eastAsia="Calibri" w:hAnsi="Calibri" w:cs="Calibri"/>
          <w:noProof/>
          <w:lang w:eastAsia="en-GB"/>
        </w:rPr>
        <w:drawing>
          <wp:anchor distT="0" distB="0" distL="114300" distR="114300" simplePos="0" relativeHeight="251659264" behindDoc="0" locked="0" layoutInCell="1" allowOverlap="1" wp14:anchorId="12530D98" wp14:editId="173D4E86">
            <wp:simplePos x="0" y="0"/>
            <wp:positionH relativeFrom="margin">
              <wp:align>right</wp:align>
            </wp:positionH>
            <wp:positionV relativeFrom="paragraph">
              <wp:posOffset>482600</wp:posOffset>
            </wp:positionV>
            <wp:extent cx="4088765" cy="1141095"/>
            <wp:effectExtent l="0" t="0" r="6985" b="1905"/>
            <wp:wrapSquare wrapText="bothSides"/>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88765" cy="11410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56BD">
        <w:rPr>
          <w:rFonts w:ascii="Calibri" w:eastAsia="Calibri" w:hAnsi="Calibri" w:cs="Calibri"/>
        </w:rPr>
        <w:t>Commissioning value of £</w:t>
      </w:r>
      <w:r w:rsidRPr="00C56FC0">
        <w:rPr>
          <w:rFonts w:ascii="Calibri" w:eastAsia="Calibri" w:hAnsi="Calibri" w:cs="Calibri"/>
        </w:rPr>
        <w:t>20.893m,</w:t>
      </w:r>
      <w:r w:rsidRPr="00A956BD">
        <w:rPr>
          <w:rFonts w:ascii="Calibri" w:eastAsia="Calibri" w:hAnsi="Calibri" w:cs="Calibri"/>
        </w:rPr>
        <w:t xml:space="preserve"> the CAREMORE® National</w:t>
      </w:r>
      <w:r w:rsidRPr="00A956BD">
        <w:rPr>
          <w:rFonts w:ascii="Calibri" w:eastAsia="Calibri" w:hAnsi="Calibri" w:cs="Calibri"/>
          <w:spacing w:val="-9"/>
        </w:rPr>
        <w:t xml:space="preserve"> </w:t>
      </w:r>
      <w:r w:rsidRPr="00A956BD">
        <w:rPr>
          <w:rFonts w:ascii="Calibri" w:eastAsia="Calibri" w:hAnsi="Calibri" w:cs="Calibri"/>
        </w:rPr>
        <w:t>Collaborative</w:t>
      </w:r>
      <w:r w:rsidRPr="00A956BD">
        <w:rPr>
          <w:rFonts w:ascii="Calibri" w:eastAsia="Calibri" w:hAnsi="Calibri" w:cs="Calibri"/>
          <w:spacing w:val="-8"/>
        </w:rPr>
        <w:t xml:space="preserve"> </w:t>
      </w:r>
      <w:r w:rsidRPr="00A956BD">
        <w:rPr>
          <w:rFonts w:ascii="Calibri" w:eastAsia="Calibri" w:hAnsi="Calibri" w:cs="Calibri"/>
        </w:rPr>
        <w:t>Commissioning:</w:t>
      </w:r>
      <w:r w:rsidRPr="00A956BD">
        <w:rPr>
          <w:rFonts w:ascii="Calibri" w:eastAsia="Calibri" w:hAnsi="Calibri" w:cs="Calibri"/>
          <w:spacing w:val="-8"/>
        </w:rPr>
        <w:t xml:space="preserve"> </w:t>
      </w:r>
      <w:r w:rsidRPr="00A956BD">
        <w:rPr>
          <w:rFonts w:ascii="Calibri" w:eastAsia="Calibri" w:hAnsi="Calibri" w:cs="Calibri"/>
        </w:rPr>
        <w:t>Quality</w:t>
      </w:r>
      <w:r w:rsidRPr="00A956BD">
        <w:rPr>
          <w:rFonts w:ascii="Calibri" w:eastAsia="Calibri" w:hAnsi="Calibri" w:cs="Calibri"/>
          <w:spacing w:val="-10"/>
        </w:rPr>
        <w:t xml:space="preserve"> </w:t>
      </w:r>
      <w:r w:rsidRPr="00A956BD">
        <w:rPr>
          <w:rFonts w:ascii="Calibri" w:eastAsia="Calibri" w:hAnsi="Calibri" w:cs="Calibri"/>
        </w:rPr>
        <w:t>&amp;</w:t>
      </w:r>
      <w:r w:rsidRPr="00A956BD">
        <w:rPr>
          <w:rFonts w:ascii="Calibri" w:eastAsia="Calibri" w:hAnsi="Calibri" w:cs="Calibri"/>
          <w:spacing w:val="-10"/>
        </w:rPr>
        <w:t xml:space="preserve"> </w:t>
      </w:r>
      <w:r w:rsidRPr="00A956BD">
        <w:rPr>
          <w:rFonts w:ascii="Calibri" w:eastAsia="Calibri" w:hAnsi="Calibri" w:cs="Calibri"/>
        </w:rPr>
        <w:t>Delivery</w:t>
      </w:r>
      <w:r w:rsidRPr="00A956BD">
        <w:rPr>
          <w:rFonts w:ascii="Calibri" w:eastAsia="Calibri" w:hAnsi="Calibri" w:cs="Calibri"/>
          <w:spacing w:val="-8"/>
        </w:rPr>
        <w:t xml:space="preserve"> </w:t>
      </w:r>
      <w:r w:rsidRPr="00A956BD">
        <w:rPr>
          <w:rFonts w:ascii="Calibri" w:eastAsia="Calibri" w:hAnsi="Calibri" w:cs="Calibri"/>
        </w:rPr>
        <w:t>Frameworks</w:t>
      </w:r>
      <w:r w:rsidRPr="00A956BD">
        <w:rPr>
          <w:rFonts w:ascii="Calibri" w:eastAsia="Calibri" w:hAnsi="Calibri" w:cs="Calibri"/>
          <w:spacing w:val="-9"/>
        </w:rPr>
        <w:t xml:space="preserve"> </w:t>
      </w:r>
      <w:r w:rsidRPr="00A956BD">
        <w:rPr>
          <w:rFonts w:ascii="Calibri" w:eastAsia="Calibri" w:hAnsi="Calibri" w:cs="Calibri"/>
        </w:rPr>
        <w:t>for</w:t>
      </w:r>
      <w:r w:rsidRPr="00A956BD">
        <w:rPr>
          <w:rFonts w:ascii="Calibri" w:eastAsia="Calibri" w:hAnsi="Calibri" w:cs="Calibri"/>
          <w:spacing w:val="-11"/>
        </w:rPr>
        <w:t xml:space="preserve"> Non-Emergency Patient Transport Services </w:t>
      </w:r>
      <w:r w:rsidRPr="00A956BD">
        <w:rPr>
          <w:rFonts w:ascii="Calibri" w:eastAsia="Calibri" w:hAnsi="Calibri" w:cs="Calibri"/>
        </w:rPr>
        <w:t xml:space="preserve">has been operational from October 2019 covering WAST, all Health Boards, WHSSC and Velindre NHS Trust, it reflects the ‘plurality model’ required by The Minister for Health &amp; Social Services and is exceptionally complex given the variety of current contractual arrangements operated by WAST, all Health Boards, WHSSC and Velindre NHS Trust, between each other and with external providers.  </w:t>
      </w:r>
      <w:r w:rsidRPr="00A956BD">
        <w:rPr>
          <w:rFonts w:ascii="Calibri" w:eastAsia="Calibri" w:hAnsi="Calibri" w:cs="Calibri"/>
        </w:rPr>
        <w:tab/>
      </w:r>
      <w:r w:rsidRPr="00A956BD">
        <w:rPr>
          <w:sz w:val="18"/>
          <w:szCs w:val="18"/>
        </w:rPr>
        <w:t>Figure 19: NEPTS Steps patient Care Pathway</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 xml:space="preserve">The work programme for NEPTS for the duration of this IMTP are listed as Appendix 6: NEPTS Storyboard </w:t>
      </w:r>
    </w:p>
    <w:p w:rsidR="00A956BD" w:rsidRPr="00A956BD" w:rsidRDefault="00A956BD" w:rsidP="00A956BD">
      <w:pPr>
        <w:widowControl w:val="0"/>
        <w:autoSpaceDE w:val="0"/>
        <w:autoSpaceDN w:val="0"/>
        <w:spacing w:after="0" w:line="240" w:lineRule="auto"/>
        <w:ind w:left="567" w:right="680"/>
        <w:rPr>
          <w:rFonts w:ascii="Calibri" w:eastAsia="Calibri" w:hAnsi="Calibri" w:cs="Calibri"/>
        </w:rPr>
      </w:pPr>
    </w:p>
    <w:p w:rsidR="00A956BD" w:rsidRPr="00A956BD" w:rsidRDefault="00A956BD" w:rsidP="00A956BD">
      <w:pPr>
        <w:widowControl w:val="0"/>
        <w:numPr>
          <w:ilvl w:val="3"/>
          <w:numId w:val="0"/>
        </w:numPr>
        <w:autoSpaceDE w:val="0"/>
        <w:autoSpaceDN w:val="0"/>
        <w:spacing w:after="0" w:line="240" w:lineRule="auto"/>
        <w:ind w:left="1429" w:right="680"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National Collaborative Commissioning Quality &amp; Delivery Framework: EMRTS</w:t>
      </w:r>
    </w:p>
    <w:p w:rsidR="00A956BD" w:rsidRPr="00A956BD" w:rsidRDefault="00A956BD" w:rsidP="00A956BD">
      <w:pPr>
        <w:ind w:left="567" w:right="680"/>
        <w:jc w:val="both"/>
        <w:rPr>
          <w:rFonts w:ascii="Calibri" w:eastAsia="Calibri" w:hAnsi="Calibri" w:cs="Calibri"/>
        </w:rPr>
      </w:pPr>
      <w:r w:rsidRPr="00A956BD">
        <w:rPr>
          <w:rFonts w:ascii="Calibri" w:eastAsia="Calibri" w:hAnsi="Calibri" w:cs="Calibri"/>
          <w:noProof/>
          <w:lang w:eastAsia="en-GB"/>
        </w:rPr>
        <w:drawing>
          <wp:anchor distT="0" distB="0" distL="114300" distR="114300" simplePos="0" relativeHeight="251663360" behindDoc="0" locked="0" layoutInCell="1" allowOverlap="1" wp14:anchorId="25FA170A" wp14:editId="0652A27E">
            <wp:simplePos x="0" y="0"/>
            <wp:positionH relativeFrom="margin">
              <wp:posOffset>2668905</wp:posOffset>
            </wp:positionH>
            <wp:positionV relativeFrom="paragraph">
              <wp:posOffset>243205</wp:posOffset>
            </wp:positionV>
            <wp:extent cx="3989705" cy="1318260"/>
            <wp:effectExtent l="0" t="0" r="0" b="0"/>
            <wp:wrapSquare wrapText="bothSides"/>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89705" cy="1318260"/>
                    </a:xfrm>
                    <a:prstGeom prst="rect">
                      <a:avLst/>
                    </a:prstGeom>
                    <a:noFill/>
                  </pic:spPr>
                </pic:pic>
              </a:graphicData>
            </a:graphic>
            <wp14:sizeRelH relativeFrom="margin">
              <wp14:pctWidth>0</wp14:pctWidth>
            </wp14:sizeRelH>
            <wp14:sizeRelV relativeFrom="margin">
              <wp14:pctHeight>0</wp14:pctHeight>
            </wp14:sizeRelV>
          </wp:anchor>
        </w:drawing>
      </w:r>
      <w:r w:rsidRPr="00A956BD">
        <w:rPr>
          <w:rFonts w:ascii="Calibri" w:eastAsia="Calibri" w:hAnsi="Calibri" w:cs="Calibri"/>
        </w:rPr>
        <w:t xml:space="preserve">EMRTS Cymru is a pre-hospital critical care service for Wales which has been operating since 2015 with four helicopters and five Rapid Response Vehicles (RRVs) to “To provide advanced decision making and critical care for life or limb-threatening emergencies that require transfer for time critical specialist treatment at an appropriate facility”. It is a partnership between Wales Air Ambulance Charity, Welsh Government and NHS Wales. </w:t>
      </w:r>
      <w:r w:rsidRPr="00A956BD">
        <w:rPr>
          <w:rFonts w:ascii="Calibri" w:eastAsia="Calibri" w:hAnsi="Calibri" w:cs="Calibri"/>
        </w:rPr>
        <w:tab/>
      </w:r>
      <w:r w:rsidRPr="00A956BD">
        <w:rPr>
          <w:rFonts w:ascii="Calibri" w:eastAsia="Calibri" w:hAnsi="Calibri" w:cs="Calibri"/>
        </w:rPr>
        <w:tab/>
      </w:r>
      <w:r w:rsidRPr="00A956BD">
        <w:rPr>
          <w:rFonts w:ascii="Calibri" w:eastAsia="Calibri" w:hAnsi="Calibri" w:cs="Calibri"/>
        </w:rPr>
        <w:tab/>
      </w:r>
      <w:r w:rsidRPr="00A956BD">
        <w:rPr>
          <w:rFonts w:ascii="Calibri" w:eastAsia="Calibri" w:hAnsi="Calibri" w:cs="Calibri"/>
        </w:rPr>
        <w:tab/>
      </w:r>
      <w:r w:rsidRPr="00A956BD">
        <w:rPr>
          <w:sz w:val="18"/>
          <w:szCs w:val="18"/>
        </w:rPr>
        <w:t>Figure 20: EMRTS Cymru fleet</w:t>
      </w:r>
    </w:p>
    <w:p w:rsidR="00A956BD" w:rsidRPr="00A956BD" w:rsidRDefault="00A956BD" w:rsidP="00A956BD">
      <w:pPr>
        <w:widowControl w:val="0"/>
        <w:autoSpaceDE w:val="0"/>
        <w:autoSpaceDN w:val="0"/>
        <w:spacing w:before="6"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 xml:space="preserve">EMRTS has been developed to bring specific benefits to Wales, there is also a service provision for the enhancement of neonatal and maternal pre-hospital critical care (both for home deliveries and deliveries in free-standing midwifery-led units (MLUs), specifically:  </w:t>
      </w:r>
    </w:p>
    <w:p w:rsidR="00A956BD" w:rsidRPr="00A956BD" w:rsidRDefault="00A956BD" w:rsidP="00A956BD">
      <w:pPr>
        <w:widowControl w:val="0"/>
        <w:numPr>
          <w:ilvl w:val="1"/>
          <w:numId w:val="1"/>
        </w:numP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reductions in geographical inequity for patients with critical care needs</w:t>
      </w:r>
    </w:p>
    <w:p w:rsidR="00A956BD" w:rsidRPr="00A956BD" w:rsidRDefault="00A956BD" w:rsidP="00A956BD">
      <w:pPr>
        <w:widowControl w:val="0"/>
        <w:numPr>
          <w:ilvl w:val="1"/>
          <w:numId w:val="1"/>
        </w:numP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health gains by improving clinical outcomes, and</w:t>
      </w:r>
    </w:p>
    <w:p w:rsidR="00A956BD" w:rsidRPr="00A956BD" w:rsidRDefault="00A956BD" w:rsidP="00A956BD">
      <w:pPr>
        <w:widowControl w:val="0"/>
        <w:numPr>
          <w:ilvl w:val="1"/>
          <w:numId w:val="1"/>
        </w:numP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 xml:space="preserve">improved clinical and skills sustainability – improving the clinical skills, recruitment and retention in key acute care areas.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The service provides a highly-trained Critical Care team comprising of Consultants (from an emergency medicine, anaesthesia and intensive care background) and Critical Care Practitioners (including paramedics and nurses). The service has two main areas of activity:</w:t>
      </w:r>
    </w:p>
    <w:p w:rsidR="00A956BD" w:rsidRPr="00A956BD" w:rsidRDefault="00A956BD" w:rsidP="00A956BD">
      <w:pPr>
        <w:widowControl w:val="0"/>
        <w:numPr>
          <w:ilvl w:val="1"/>
          <w:numId w:val="1"/>
        </w:numP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 xml:space="preserve">Pre-hospital critical care for all age groups (i.e. interventions/decisions that are outside standard paramedic practice). </w:t>
      </w:r>
    </w:p>
    <w:p w:rsidR="00A956BD" w:rsidRPr="00A956BD" w:rsidRDefault="00A956BD" w:rsidP="00A956BD">
      <w:pPr>
        <w:widowControl w:val="0"/>
        <w:numPr>
          <w:ilvl w:val="1"/>
          <w:numId w:val="1"/>
        </w:numP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 xml:space="preserve">Undertaking time-critical, life or limb-threatening adult and paediatric transfers from peripheral centres for patients requiring specialist intervention at the receiving hospital.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 xml:space="preserve">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bookmarkStart w:id="5" w:name="_GoBack"/>
      <w:bookmarkEnd w:id="5"/>
      <w:r w:rsidRPr="00C56FC0">
        <w:rPr>
          <w:rFonts w:ascii="Calibri" w:eastAsia="Calibri" w:hAnsi="Calibri" w:cs="Calibri"/>
        </w:rPr>
        <w:t>Commissioning value of £3.833m, not including</w:t>
      </w:r>
      <w:r w:rsidRPr="00C56FC0">
        <w:rPr>
          <w:rFonts w:ascii="Calibri" w:eastAsia="Calibri" w:hAnsi="Calibri" w:cs="Calibri"/>
          <w:spacing w:val="-7"/>
        </w:rPr>
        <w:t xml:space="preserve"> </w:t>
      </w:r>
      <w:r w:rsidRPr="00C56FC0">
        <w:rPr>
          <w:rFonts w:ascii="Calibri" w:eastAsia="Calibri" w:hAnsi="Calibri" w:cs="Calibri"/>
        </w:rPr>
        <w:t>the</w:t>
      </w:r>
      <w:r w:rsidRPr="00C56FC0">
        <w:rPr>
          <w:rFonts w:ascii="Calibri" w:eastAsia="Calibri" w:hAnsi="Calibri" w:cs="Calibri"/>
          <w:spacing w:val="-6"/>
        </w:rPr>
        <w:t xml:space="preserve"> </w:t>
      </w:r>
      <w:r w:rsidRPr="00C56FC0">
        <w:rPr>
          <w:rFonts w:ascii="Calibri" w:eastAsia="Calibri" w:hAnsi="Calibri" w:cs="Calibri"/>
        </w:rPr>
        <w:t>contribution</w:t>
      </w:r>
      <w:r w:rsidRPr="00C56FC0">
        <w:rPr>
          <w:rFonts w:ascii="Calibri" w:eastAsia="Calibri" w:hAnsi="Calibri" w:cs="Calibri"/>
          <w:spacing w:val="-7"/>
        </w:rPr>
        <w:t xml:space="preserve"> </w:t>
      </w:r>
      <w:r w:rsidRPr="00C56FC0">
        <w:rPr>
          <w:rFonts w:ascii="Calibri" w:eastAsia="Calibri" w:hAnsi="Calibri" w:cs="Calibri"/>
        </w:rPr>
        <w:t>from</w:t>
      </w:r>
      <w:r w:rsidRPr="00C56FC0">
        <w:rPr>
          <w:rFonts w:ascii="Calibri" w:eastAsia="Calibri" w:hAnsi="Calibri" w:cs="Calibri"/>
          <w:spacing w:val="-8"/>
        </w:rPr>
        <w:t xml:space="preserve"> </w:t>
      </w:r>
      <w:r w:rsidRPr="00C56FC0">
        <w:rPr>
          <w:rFonts w:ascii="Calibri" w:eastAsia="Calibri" w:hAnsi="Calibri" w:cs="Calibri"/>
        </w:rPr>
        <w:t>the</w:t>
      </w:r>
      <w:r w:rsidRPr="00C56FC0">
        <w:rPr>
          <w:rFonts w:ascii="Calibri" w:eastAsia="Calibri" w:hAnsi="Calibri" w:cs="Calibri"/>
          <w:spacing w:val="-9"/>
        </w:rPr>
        <w:t xml:space="preserve"> </w:t>
      </w:r>
      <w:r w:rsidRPr="00C56FC0">
        <w:rPr>
          <w:rFonts w:ascii="Calibri" w:eastAsia="Calibri" w:hAnsi="Calibri" w:cs="Calibri"/>
        </w:rPr>
        <w:t>Wales</w:t>
      </w:r>
      <w:r w:rsidRPr="00C56FC0">
        <w:rPr>
          <w:rFonts w:ascii="Calibri" w:eastAsia="Calibri" w:hAnsi="Calibri" w:cs="Calibri"/>
          <w:spacing w:val="-9"/>
        </w:rPr>
        <w:t xml:space="preserve"> </w:t>
      </w:r>
      <w:r w:rsidRPr="00C56FC0">
        <w:rPr>
          <w:rFonts w:ascii="Calibri" w:eastAsia="Calibri" w:hAnsi="Calibri" w:cs="Calibri"/>
        </w:rPr>
        <w:t>Air</w:t>
      </w:r>
      <w:r w:rsidRPr="00C56FC0">
        <w:rPr>
          <w:rFonts w:ascii="Calibri" w:eastAsia="Calibri" w:hAnsi="Calibri" w:cs="Calibri"/>
          <w:spacing w:val="-6"/>
        </w:rPr>
        <w:t xml:space="preserve"> </w:t>
      </w:r>
      <w:r w:rsidRPr="00C56FC0">
        <w:rPr>
          <w:rFonts w:ascii="Calibri" w:eastAsia="Calibri" w:hAnsi="Calibri" w:cs="Calibri"/>
        </w:rPr>
        <w:t>Ambulance</w:t>
      </w:r>
      <w:r w:rsidRPr="00C56FC0">
        <w:rPr>
          <w:rFonts w:ascii="Calibri" w:eastAsia="Calibri" w:hAnsi="Calibri" w:cs="Calibri"/>
          <w:spacing w:val="-6"/>
        </w:rPr>
        <w:t xml:space="preserve"> </w:t>
      </w:r>
      <w:r w:rsidRPr="00C56FC0">
        <w:rPr>
          <w:rFonts w:ascii="Calibri" w:eastAsia="Calibri" w:hAnsi="Calibri" w:cs="Calibri"/>
        </w:rPr>
        <w:t>(WAA)</w:t>
      </w:r>
      <w:r w:rsidRPr="00C56FC0">
        <w:rPr>
          <w:rFonts w:ascii="Calibri" w:eastAsia="Calibri" w:hAnsi="Calibri" w:cs="Calibri"/>
          <w:spacing w:val="-6"/>
        </w:rPr>
        <w:t xml:space="preserve"> </w:t>
      </w:r>
      <w:r w:rsidRPr="00C56FC0">
        <w:rPr>
          <w:rFonts w:ascii="Calibri" w:eastAsia="Calibri" w:hAnsi="Calibri" w:cs="Calibri"/>
        </w:rPr>
        <w:t>Charity</w:t>
      </w:r>
      <w:r w:rsidRPr="00C56FC0">
        <w:rPr>
          <w:rFonts w:ascii="Calibri" w:eastAsia="Calibri" w:hAnsi="Calibri" w:cs="Calibri"/>
          <w:spacing w:val="-6"/>
        </w:rPr>
        <w:t xml:space="preserve"> </w:t>
      </w:r>
      <w:r w:rsidRPr="00C56FC0">
        <w:rPr>
          <w:rFonts w:ascii="Calibri" w:eastAsia="Calibri" w:hAnsi="Calibri" w:cs="Calibri"/>
        </w:rPr>
        <w:t>of</w:t>
      </w:r>
      <w:r w:rsidRPr="00C56FC0">
        <w:rPr>
          <w:rFonts w:ascii="Calibri" w:eastAsia="Calibri" w:hAnsi="Calibri" w:cs="Calibri"/>
          <w:spacing w:val="-9"/>
        </w:rPr>
        <w:t xml:space="preserve"> </w:t>
      </w:r>
      <w:r w:rsidRPr="00C56FC0">
        <w:rPr>
          <w:rFonts w:ascii="Calibri" w:eastAsia="Calibri" w:hAnsi="Calibri" w:cs="Calibri"/>
        </w:rPr>
        <w:t>circa</w:t>
      </w:r>
      <w:r w:rsidRPr="00C56FC0">
        <w:rPr>
          <w:rFonts w:ascii="Calibri" w:eastAsia="Calibri" w:hAnsi="Calibri" w:cs="Calibri"/>
          <w:spacing w:val="-9"/>
        </w:rPr>
        <w:t xml:space="preserve"> </w:t>
      </w:r>
      <w:r w:rsidRPr="00C56FC0">
        <w:rPr>
          <w:rFonts w:ascii="Calibri" w:eastAsia="Calibri" w:hAnsi="Calibri" w:cs="Calibri"/>
        </w:rPr>
        <w:t>£4m</w:t>
      </w:r>
      <w:r w:rsidRPr="00A956BD">
        <w:rPr>
          <w:rFonts w:ascii="Calibri" w:eastAsia="Calibri" w:hAnsi="Calibri" w:cs="Calibri"/>
        </w:rPr>
        <w:t>,</w:t>
      </w:r>
      <w:r w:rsidRPr="00A956BD">
        <w:rPr>
          <w:rFonts w:ascii="Calibri" w:eastAsia="Calibri" w:hAnsi="Calibri" w:cs="Calibri"/>
          <w:spacing w:val="-9"/>
        </w:rPr>
        <w:t xml:space="preserve"> </w:t>
      </w:r>
      <w:r w:rsidRPr="00A956BD">
        <w:rPr>
          <w:rFonts w:ascii="Calibri" w:eastAsia="Calibri" w:hAnsi="Calibri" w:cs="Calibri"/>
        </w:rPr>
        <w:t>the Framework</w:t>
      </w:r>
      <w:r w:rsidRPr="00A956BD">
        <w:rPr>
          <w:rFonts w:ascii="Calibri" w:eastAsia="Calibri" w:hAnsi="Calibri" w:cs="Calibri"/>
          <w:spacing w:val="-6"/>
        </w:rPr>
        <w:t xml:space="preserve"> will be </w:t>
      </w:r>
      <w:r w:rsidRPr="00A956BD">
        <w:rPr>
          <w:rFonts w:ascii="Calibri" w:eastAsia="Calibri" w:hAnsi="Calibri" w:cs="Calibri"/>
        </w:rPr>
        <w:t>operational from quarter 4 2019/20 and will be between EASC and the host</w:t>
      </w:r>
      <w:r w:rsidRPr="00A956BD">
        <w:rPr>
          <w:rFonts w:ascii="Calibri" w:eastAsia="Calibri" w:hAnsi="Calibri" w:cs="Calibri"/>
          <w:spacing w:val="-9"/>
        </w:rPr>
        <w:t xml:space="preserve"> </w:t>
      </w:r>
      <w:r w:rsidRPr="00A956BD">
        <w:rPr>
          <w:rFonts w:ascii="Calibri" w:eastAsia="Calibri" w:hAnsi="Calibri" w:cs="Calibri"/>
        </w:rPr>
        <w:t>of</w:t>
      </w:r>
      <w:r w:rsidRPr="00A956BD">
        <w:rPr>
          <w:rFonts w:ascii="Calibri" w:eastAsia="Calibri" w:hAnsi="Calibri" w:cs="Calibri"/>
          <w:spacing w:val="-9"/>
        </w:rPr>
        <w:t xml:space="preserve"> </w:t>
      </w:r>
      <w:r w:rsidRPr="00A956BD">
        <w:rPr>
          <w:rFonts w:ascii="Calibri" w:eastAsia="Calibri" w:hAnsi="Calibri" w:cs="Calibri"/>
        </w:rPr>
        <w:t>EMRTS,</w:t>
      </w:r>
      <w:r w:rsidRPr="00A956BD">
        <w:rPr>
          <w:rFonts w:ascii="Calibri" w:eastAsia="Calibri" w:hAnsi="Calibri" w:cs="Calibri"/>
          <w:spacing w:val="-9"/>
        </w:rPr>
        <w:t xml:space="preserve"> </w:t>
      </w:r>
      <w:r w:rsidRPr="00A956BD">
        <w:rPr>
          <w:rFonts w:ascii="Calibri" w:eastAsia="Calibri" w:hAnsi="Calibri" w:cs="Calibri"/>
        </w:rPr>
        <w:t>ABMU</w:t>
      </w:r>
      <w:r w:rsidRPr="00A956BD">
        <w:rPr>
          <w:rFonts w:ascii="Calibri" w:eastAsia="Calibri" w:hAnsi="Calibri" w:cs="Calibri"/>
          <w:spacing w:val="-7"/>
        </w:rPr>
        <w:t xml:space="preserve"> </w:t>
      </w:r>
      <w:r w:rsidRPr="00A956BD">
        <w:rPr>
          <w:rFonts w:ascii="Calibri" w:eastAsia="Calibri" w:hAnsi="Calibri" w:cs="Calibri"/>
        </w:rPr>
        <w:t>Health</w:t>
      </w:r>
      <w:r w:rsidRPr="00A956BD">
        <w:rPr>
          <w:rFonts w:ascii="Calibri" w:eastAsia="Calibri" w:hAnsi="Calibri" w:cs="Calibri"/>
          <w:spacing w:val="-7"/>
        </w:rPr>
        <w:t xml:space="preserve"> </w:t>
      </w:r>
      <w:r w:rsidRPr="00A956BD">
        <w:rPr>
          <w:rFonts w:ascii="Calibri" w:eastAsia="Calibri" w:hAnsi="Calibri" w:cs="Calibri"/>
        </w:rPr>
        <w:t>Board; its development utilises the approach used for creating the emergency ambulance services framework.</w:t>
      </w:r>
    </w:p>
    <w:p w:rsidR="00A956BD" w:rsidRPr="00A956BD" w:rsidRDefault="00A956BD" w:rsidP="00A956BD">
      <w:pPr>
        <w:ind w:left="567" w:right="680"/>
      </w:pPr>
    </w:p>
    <w:p w:rsidR="00A956BD" w:rsidRPr="00A956BD" w:rsidRDefault="00A956BD" w:rsidP="00A956BD">
      <w:pPr>
        <w:keepNext/>
        <w:keepLines/>
        <w:numPr>
          <w:ilvl w:val="2"/>
          <w:numId w:val="0"/>
        </w:numPr>
        <w:spacing w:before="40" w:after="0"/>
        <w:ind w:left="1287" w:right="680" w:hanging="720"/>
        <w:outlineLvl w:val="2"/>
        <w:rPr>
          <w:rFonts w:asciiTheme="majorHAnsi" w:eastAsia="Cambria" w:hAnsiTheme="majorHAnsi" w:cstheme="majorBidi"/>
          <w:color w:val="1F4D78" w:themeColor="accent1" w:themeShade="7F"/>
          <w:sz w:val="28"/>
          <w:szCs w:val="24"/>
        </w:rPr>
      </w:pPr>
      <w:r w:rsidRPr="00A956BD">
        <w:rPr>
          <w:rFonts w:asciiTheme="majorHAnsi" w:eastAsia="Cambria" w:hAnsiTheme="majorHAnsi" w:cstheme="majorBidi"/>
          <w:color w:val="1F4D78" w:themeColor="accent1" w:themeShade="7F"/>
          <w:sz w:val="28"/>
          <w:szCs w:val="24"/>
        </w:rPr>
        <w:lastRenderedPageBreak/>
        <w:t>EASC Strategic Commissioning Intent 2020/21 onwards</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noProof/>
          <w:lang w:eastAsia="en-GB"/>
        </w:rPr>
        <w:drawing>
          <wp:anchor distT="0" distB="0" distL="114300" distR="114300" simplePos="0" relativeHeight="251664384" behindDoc="0" locked="0" layoutInCell="1" allowOverlap="1" wp14:anchorId="2B3076AB" wp14:editId="7D454F1D">
            <wp:simplePos x="0" y="0"/>
            <wp:positionH relativeFrom="margin">
              <wp:align>right</wp:align>
            </wp:positionH>
            <wp:positionV relativeFrom="paragraph">
              <wp:posOffset>66520</wp:posOffset>
            </wp:positionV>
            <wp:extent cx="3054985" cy="3105785"/>
            <wp:effectExtent l="0" t="0" r="0" b="0"/>
            <wp:wrapSquare wrapText="bothSides"/>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054985" cy="3105785"/>
                    </a:xfrm>
                    <a:prstGeom prst="rect">
                      <a:avLst/>
                    </a:prstGeom>
                  </pic:spPr>
                </pic:pic>
              </a:graphicData>
            </a:graphic>
          </wp:anchor>
        </w:drawing>
      </w:r>
      <w:r w:rsidRPr="00A956BD">
        <w:rPr>
          <w:rFonts w:ascii="Calibri" w:eastAsia="Calibri" w:hAnsi="Calibri" w:cs="Calibri"/>
        </w:rPr>
        <w:t xml:space="preserve">The 2019/22 NCCU/EASC IMTP articulated the development of a strategic commissioning plan for EASC. In November 19 EASC Joint Committee approved the plan. The strategic commissioning intentions were issued to WAST and Health Boards through the EASC Management Group. These strategic intentions will enable:  </w:t>
      </w:r>
    </w:p>
    <w:p w:rsidR="00A956BD" w:rsidRPr="00A956BD" w:rsidRDefault="00A956BD" w:rsidP="00A956BD">
      <w:pPr>
        <w:widowControl w:val="0"/>
        <w:numPr>
          <w:ilvl w:val="0"/>
          <w:numId w:val="2"/>
        </w:numP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 xml:space="preserve">Revision of NCCU Memorandum of Understanding with Welsh Government. </w:t>
      </w:r>
    </w:p>
    <w:p w:rsidR="00A956BD" w:rsidRPr="00A956BD" w:rsidRDefault="00A956BD" w:rsidP="00A956BD">
      <w:pPr>
        <w:widowControl w:val="0"/>
        <w:numPr>
          <w:ilvl w:val="0"/>
          <w:numId w:val="2"/>
        </w:numP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Alignment of Quadruple Aim across care standards for services.</w:t>
      </w:r>
    </w:p>
    <w:p w:rsidR="00A956BD" w:rsidRPr="00A956BD" w:rsidRDefault="00A956BD" w:rsidP="00A956BD">
      <w:pPr>
        <w:widowControl w:val="0"/>
        <w:numPr>
          <w:ilvl w:val="0"/>
          <w:numId w:val="2"/>
        </w:numP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 xml:space="preserve">Production of a Quadruple Aim Benefit Map enabled through the delivery of the care and core standards for each service.  </w:t>
      </w:r>
    </w:p>
    <w:p w:rsidR="00A956BD" w:rsidRPr="00A956BD" w:rsidRDefault="00A956BD" w:rsidP="00A956BD">
      <w:pPr>
        <w:widowControl w:val="0"/>
        <w:numPr>
          <w:ilvl w:val="0"/>
          <w:numId w:val="2"/>
        </w:numP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 xml:space="preserve">Delivery of Ministerial expectation and alignment across A Healthier Wales and the Wellbeing of Future Generations Act. </w:t>
      </w:r>
    </w:p>
    <w:p w:rsidR="00A956BD" w:rsidRPr="00A956BD" w:rsidRDefault="00A956BD" w:rsidP="00A956BD">
      <w:pPr>
        <w:widowControl w:val="0"/>
        <w:numPr>
          <w:ilvl w:val="0"/>
          <w:numId w:val="2"/>
        </w:numP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 xml:space="preserve">A whole system risk reduction approach and closer alignment between the work of EASC and the National Programme for Unscheduled Care. </w:t>
      </w:r>
      <w:r w:rsidRPr="00A956BD">
        <w:rPr>
          <w:rFonts w:ascii="Calibri" w:eastAsia="Calibri" w:hAnsi="Calibri" w:cs="Calibri"/>
        </w:rPr>
        <w:tab/>
      </w:r>
      <w:r w:rsidRPr="00A956BD">
        <w:rPr>
          <w:rFonts w:ascii="Calibri" w:eastAsia="Calibri" w:hAnsi="Calibri" w:cs="Calibri"/>
        </w:rPr>
        <w:tab/>
      </w:r>
      <w:r w:rsidRPr="00A956BD">
        <w:rPr>
          <w:sz w:val="18"/>
          <w:szCs w:val="18"/>
        </w:rPr>
        <w:t>Figure 21: EASC Strategic Commissioning Plan</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keepNext/>
        <w:keepLines/>
        <w:numPr>
          <w:ilvl w:val="2"/>
          <w:numId w:val="0"/>
        </w:numPr>
        <w:spacing w:before="40" w:after="0"/>
        <w:ind w:left="1287" w:right="680" w:hanging="720"/>
        <w:outlineLvl w:val="2"/>
        <w:rPr>
          <w:rFonts w:asciiTheme="majorHAnsi" w:eastAsia="Cambria" w:hAnsiTheme="majorHAnsi" w:cstheme="majorBidi"/>
          <w:color w:val="1F4D78" w:themeColor="accent1" w:themeShade="7F"/>
          <w:sz w:val="28"/>
          <w:szCs w:val="24"/>
        </w:rPr>
      </w:pPr>
      <w:r w:rsidRPr="00A956BD">
        <w:rPr>
          <w:rFonts w:asciiTheme="majorHAnsi" w:eastAsia="Cambria" w:hAnsiTheme="majorHAnsi" w:cstheme="majorBidi"/>
          <w:color w:val="1F4D78" w:themeColor="accent1" w:themeShade="7F"/>
          <w:sz w:val="28"/>
          <w:szCs w:val="24"/>
        </w:rPr>
        <w:t>EASC Annual Commissioning Intentions, Financial Assumptions and IMTP Alignment 2020/21</w:t>
      </w:r>
    </w:p>
    <w:p w:rsidR="00A956BD" w:rsidRPr="00A956BD" w:rsidRDefault="00A956BD" w:rsidP="00A956BD">
      <w:pPr>
        <w:widowControl w:val="0"/>
        <w:autoSpaceDE w:val="0"/>
        <w:autoSpaceDN w:val="0"/>
        <w:spacing w:before="54" w:after="0" w:line="264" w:lineRule="exact"/>
        <w:ind w:left="567" w:right="680"/>
        <w:jc w:val="both"/>
        <w:rPr>
          <w:rFonts w:ascii="Calibri" w:eastAsia="Calibri" w:hAnsi="Calibri" w:cs="Calibri"/>
        </w:rPr>
      </w:pPr>
      <w:r w:rsidRPr="00A956BD">
        <w:rPr>
          <w:rFonts w:ascii="Calibri" w:eastAsia="Calibri" w:hAnsi="Calibri" w:cs="Calibri"/>
        </w:rPr>
        <w:t>The 2020/21 EMS &amp; NEPTS commissioning intentions were accepted by EASC on 12</w:t>
      </w:r>
      <w:r w:rsidRPr="00A956BD">
        <w:rPr>
          <w:rFonts w:ascii="Calibri" w:eastAsia="Calibri" w:hAnsi="Calibri" w:cs="Calibri"/>
          <w:vertAlign w:val="superscript"/>
        </w:rPr>
        <w:t>th</w:t>
      </w:r>
      <w:r w:rsidRPr="00A956BD">
        <w:rPr>
          <w:rFonts w:ascii="Calibri" w:eastAsia="Calibri" w:hAnsi="Calibri" w:cs="Calibri"/>
        </w:rPr>
        <w:t xml:space="preserve"> November 2019. They were shared with WAST and EASC Management Group following EASC. A response has been received by WAST and the finalised commissioning intentions were agreed by the EASC Management Group on 20</w:t>
      </w:r>
      <w:r w:rsidRPr="00A956BD">
        <w:rPr>
          <w:rFonts w:ascii="Calibri" w:eastAsia="Calibri" w:hAnsi="Calibri" w:cs="Calibri"/>
          <w:vertAlign w:val="superscript"/>
        </w:rPr>
        <w:t>th</w:t>
      </w:r>
      <w:r w:rsidRPr="00A956BD">
        <w:rPr>
          <w:rFonts w:ascii="Calibri" w:eastAsia="Calibri" w:hAnsi="Calibri" w:cs="Calibri"/>
        </w:rPr>
        <w:t xml:space="preserve"> December 2019. They will be shared nationally by NCCU through the Directors of Planning; Finance; Primary Community &amp; Mental Health as well as Chief Operating Officers. </w:t>
      </w:r>
    </w:p>
    <w:p w:rsidR="00A956BD" w:rsidRPr="00A956BD" w:rsidRDefault="00A956BD" w:rsidP="00A956BD">
      <w:pPr>
        <w:widowControl w:val="0"/>
        <w:autoSpaceDE w:val="0"/>
        <w:autoSpaceDN w:val="0"/>
        <w:spacing w:before="54" w:after="0" w:line="264" w:lineRule="exact"/>
        <w:ind w:left="567" w:right="680"/>
        <w:jc w:val="both"/>
        <w:rPr>
          <w:rFonts w:ascii="Calibri" w:eastAsia="Calibri" w:hAnsi="Calibri" w:cs="Calibri"/>
        </w:rPr>
      </w:pPr>
    </w:p>
    <w:p w:rsidR="00A956BD" w:rsidRPr="00A956BD" w:rsidRDefault="00A956BD" w:rsidP="00A956BD">
      <w:pPr>
        <w:widowControl w:val="0"/>
        <w:autoSpaceDE w:val="0"/>
        <w:autoSpaceDN w:val="0"/>
        <w:spacing w:before="54" w:after="0" w:line="264" w:lineRule="exact"/>
        <w:ind w:left="567" w:right="680"/>
        <w:jc w:val="both"/>
        <w:rPr>
          <w:rFonts w:ascii="Calibri" w:eastAsia="Calibri" w:hAnsi="Calibri" w:cs="Calibri"/>
        </w:rPr>
      </w:pPr>
      <w:r w:rsidRPr="00A956BD">
        <w:rPr>
          <w:rFonts w:ascii="Calibri" w:eastAsia="Calibri" w:hAnsi="Calibri" w:cs="Calibri"/>
        </w:rPr>
        <w:t>NCCU will share a standard descriptor of EASC Commissioned Services and the below process guidance for inclusion in Health Board IMTPs, as well as details of the financial payable to EASC for each Health Board.</w:t>
      </w:r>
    </w:p>
    <w:p w:rsidR="00A956BD" w:rsidRPr="00A956BD" w:rsidRDefault="00A956BD" w:rsidP="00A956BD">
      <w:pPr>
        <w:widowControl w:val="0"/>
        <w:autoSpaceDE w:val="0"/>
        <w:autoSpaceDN w:val="0"/>
        <w:spacing w:before="54" w:after="0" w:line="264" w:lineRule="exact"/>
        <w:ind w:left="567" w:right="680"/>
        <w:jc w:val="both"/>
        <w:rPr>
          <w:rFonts w:ascii="Calibri" w:eastAsia="Calibri" w:hAnsi="Calibri" w:cs="Calibri"/>
        </w:rPr>
      </w:pPr>
      <w:r w:rsidRPr="00A956BD">
        <w:rPr>
          <w:rFonts w:ascii="Calibri" w:eastAsia="Calibri" w:hAnsi="Calibri" w:cs="Calibri"/>
          <w:noProof/>
          <w:lang w:eastAsia="en-GB"/>
        </w:rPr>
        <w:drawing>
          <wp:anchor distT="0" distB="0" distL="114300" distR="114300" simplePos="0" relativeHeight="251660288" behindDoc="0" locked="0" layoutInCell="1" allowOverlap="1" wp14:anchorId="66F9194C" wp14:editId="7D4C6BEC">
            <wp:simplePos x="0" y="0"/>
            <wp:positionH relativeFrom="margin">
              <wp:posOffset>357505</wp:posOffset>
            </wp:positionH>
            <wp:positionV relativeFrom="paragraph">
              <wp:posOffset>37465</wp:posOffset>
            </wp:positionV>
            <wp:extent cx="4745102" cy="3022600"/>
            <wp:effectExtent l="0" t="0" r="0" b="6350"/>
            <wp:wrapSquare wrapText="bothSides"/>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45102" cy="3022600"/>
                    </a:xfrm>
                    <a:prstGeom prst="rect">
                      <a:avLst/>
                    </a:prstGeom>
                    <a:noFill/>
                  </pic:spPr>
                </pic:pic>
              </a:graphicData>
            </a:graphic>
            <wp14:sizeRelH relativeFrom="margin">
              <wp14:pctWidth>0</wp14:pctWidth>
            </wp14:sizeRelH>
            <wp14:sizeRelV relativeFrom="margin">
              <wp14:pctHeight>0</wp14:pctHeight>
            </wp14:sizeRelV>
          </wp:anchor>
        </w:drawing>
      </w:r>
    </w:p>
    <w:p w:rsidR="00A956BD" w:rsidRPr="00A956BD" w:rsidRDefault="00A956BD" w:rsidP="00A956BD">
      <w:pPr>
        <w:widowControl w:val="0"/>
        <w:autoSpaceDE w:val="0"/>
        <w:autoSpaceDN w:val="0"/>
        <w:spacing w:before="54" w:after="0" w:line="264" w:lineRule="exact"/>
        <w:ind w:left="567" w:right="680"/>
        <w:jc w:val="both"/>
        <w:rPr>
          <w:rFonts w:ascii="Calibri" w:eastAsia="Calibri" w:hAnsi="Calibri" w:cs="Calibri"/>
        </w:rPr>
      </w:pPr>
    </w:p>
    <w:p w:rsidR="00A956BD" w:rsidRPr="00A956BD" w:rsidRDefault="00A956BD" w:rsidP="00A956BD">
      <w:pPr>
        <w:widowControl w:val="0"/>
        <w:autoSpaceDE w:val="0"/>
        <w:autoSpaceDN w:val="0"/>
        <w:spacing w:before="54" w:after="0" w:line="264" w:lineRule="exact"/>
        <w:ind w:left="567" w:right="680"/>
        <w:jc w:val="both"/>
        <w:rPr>
          <w:rFonts w:ascii="Calibri" w:eastAsia="Calibri" w:hAnsi="Calibri" w:cs="Calibri"/>
        </w:rPr>
      </w:pPr>
    </w:p>
    <w:p w:rsidR="00A956BD" w:rsidRPr="00A956BD" w:rsidRDefault="00A956BD" w:rsidP="00A956BD">
      <w:pPr>
        <w:widowControl w:val="0"/>
        <w:autoSpaceDE w:val="0"/>
        <w:autoSpaceDN w:val="0"/>
        <w:spacing w:before="54" w:after="0" w:line="264" w:lineRule="exact"/>
        <w:ind w:left="567" w:right="680"/>
        <w:jc w:val="both"/>
        <w:rPr>
          <w:rFonts w:ascii="Calibri" w:eastAsia="Calibri" w:hAnsi="Calibri" w:cs="Calibri"/>
        </w:rPr>
      </w:pPr>
    </w:p>
    <w:p w:rsidR="00A956BD" w:rsidRPr="00A956BD" w:rsidRDefault="00A956BD" w:rsidP="00A956BD">
      <w:pPr>
        <w:widowControl w:val="0"/>
        <w:autoSpaceDE w:val="0"/>
        <w:autoSpaceDN w:val="0"/>
        <w:spacing w:before="54" w:after="0" w:line="264" w:lineRule="exact"/>
        <w:ind w:left="567" w:right="680"/>
        <w:jc w:val="both"/>
        <w:rPr>
          <w:rFonts w:ascii="Calibri" w:eastAsia="Calibri" w:hAnsi="Calibri" w:cs="Calibri"/>
        </w:rPr>
      </w:pPr>
    </w:p>
    <w:p w:rsidR="00A956BD" w:rsidRPr="00A956BD" w:rsidRDefault="00A956BD" w:rsidP="00A956BD">
      <w:pPr>
        <w:widowControl w:val="0"/>
        <w:autoSpaceDE w:val="0"/>
        <w:autoSpaceDN w:val="0"/>
        <w:spacing w:before="54" w:after="0" w:line="264" w:lineRule="exact"/>
        <w:ind w:left="567" w:right="680"/>
        <w:jc w:val="both"/>
        <w:rPr>
          <w:rFonts w:ascii="Calibri" w:eastAsia="Calibri" w:hAnsi="Calibri" w:cs="Calibri"/>
        </w:rPr>
      </w:pPr>
    </w:p>
    <w:p w:rsidR="00A956BD" w:rsidRPr="00A956BD" w:rsidRDefault="00A956BD" w:rsidP="00A956BD">
      <w:pPr>
        <w:widowControl w:val="0"/>
        <w:autoSpaceDE w:val="0"/>
        <w:autoSpaceDN w:val="0"/>
        <w:spacing w:before="54" w:after="0" w:line="264" w:lineRule="exact"/>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rPr>
          <w:rFonts w:ascii="Calibri" w:eastAsia="Calibri" w:hAnsi="Calibri" w:cs="Calibri"/>
        </w:rPr>
      </w:pPr>
      <w:r w:rsidRPr="00A956BD">
        <w:rPr>
          <w:sz w:val="18"/>
          <w:szCs w:val="18"/>
        </w:rPr>
        <w:t>Figure 22: EASC Commissioning Intentions, Finance &amp; Value IMTP alignment process</w:t>
      </w:r>
    </w:p>
    <w:p w:rsidR="00A956BD" w:rsidRPr="00A956BD" w:rsidRDefault="00A956BD" w:rsidP="00A956BD">
      <w:pPr>
        <w:widowControl w:val="0"/>
        <w:autoSpaceDE w:val="0"/>
        <w:autoSpaceDN w:val="0"/>
        <w:spacing w:after="0" w:line="240" w:lineRule="auto"/>
        <w:ind w:left="567" w:right="680"/>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rPr>
          <w:rFonts w:ascii="Calibri" w:eastAsia="Calibri" w:hAnsi="Calibri" w:cs="Calibri"/>
        </w:rPr>
      </w:pPr>
      <w:r w:rsidRPr="00A956BD">
        <w:rPr>
          <w:rFonts w:ascii="Calibri" w:eastAsia="Calibri" w:hAnsi="Calibri" w:cs="Calibri"/>
        </w:rPr>
        <w:t xml:space="preserve">The commissioning intentions set annually by NCCU on behalf of the CASC contain 3 components: </w:t>
      </w:r>
    </w:p>
    <w:p w:rsidR="00A956BD" w:rsidRPr="00A956BD" w:rsidRDefault="00A956BD" w:rsidP="00A956BD">
      <w:pPr>
        <w:widowControl w:val="0"/>
        <w:numPr>
          <w:ilvl w:val="0"/>
          <w:numId w:val="5"/>
        </w:numPr>
        <w:autoSpaceDE w:val="0"/>
        <w:autoSpaceDN w:val="0"/>
        <w:spacing w:before="54" w:after="0" w:line="264" w:lineRule="exact"/>
        <w:ind w:left="1134" w:right="680" w:hanging="283"/>
        <w:jc w:val="both"/>
        <w:rPr>
          <w:rFonts w:ascii="Calibri" w:eastAsia="Calibri" w:hAnsi="Calibri" w:cs="Calibri"/>
        </w:rPr>
      </w:pPr>
      <w:r w:rsidRPr="00A956BD">
        <w:rPr>
          <w:rFonts w:ascii="Calibri" w:eastAsia="Calibri" w:hAnsi="Calibri" w:cs="Calibri"/>
        </w:rPr>
        <w:t>Framework Improvements – updates to the framework agreement</w:t>
      </w:r>
    </w:p>
    <w:p w:rsidR="00A956BD" w:rsidRPr="00A956BD" w:rsidRDefault="00A956BD" w:rsidP="00A956BD">
      <w:pPr>
        <w:widowControl w:val="0"/>
        <w:numPr>
          <w:ilvl w:val="0"/>
          <w:numId w:val="5"/>
        </w:numPr>
        <w:autoSpaceDE w:val="0"/>
        <w:autoSpaceDN w:val="0"/>
        <w:spacing w:before="54" w:after="0" w:line="264" w:lineRule="exact"/>
        <w:ind w:left="1134" w:right="680" w:hanging="283"/>
        <w:jc w:val="both"/>
        <w:rPr>
          <w:rFonts w:ascii="Calibri" w:eastAsia="Calibri" w:hAnsi="Calibri" w:cs="Calibri"/>
        </w:rPr>
      </w:pPr>
      <w:r w:rsidRPr="00A956BD">
        <w:rPr>
          <w:rFonts w:ascii="Calibri" w:eastAsia="Calibri" w:hAnsi="Calibri" w:cs="Calibri"/>
        </w:rPr>
        <w:t xml:space="preserve">WAST Performance Improvements – the performance improvements WAST are expected to make  </w:t>
      </w:r>
    </w:p>
    <w:p w:rsidR="00A956BD" w:rsidRPr="00A956BD" w:rsidRDefault="00A956BD" w:rsidP="00A956BD">
      <w:pPr>
        <w:widowControl w:val="0"/>
        <w:numPr>
          <w:ilvl w:val="0"/>
          <w:numId w:val="5"/>
        </w:numPr>
        <w:autoSpaceDE w:val="0"/>
        <w:autoSpaceDN w:val="0"/>
        <w:spacing w:before="54" w:after="0" w:line="264" w:lineRule="exact"/>
        <w:ind w:left="1134" w:right="680" w:hanging="283"/>
        <w:jc w:val="both"/>
        <w:rPr>
          <w:rFonts w:ascii="Calibri" w:eastAsia="Calibri" w:hAnsi="Calibri" w:cs="Calibri"/>
        </w:rPr>
      </w:pPr>
      <w:r w:rsidRPr="00A956BD">
        <w:rPr>
          <w:rFonts w:ascii="Calibri" w:eastAsia="Calibri" w:hAnsi="Calibri" w:cs="Calibri"/>
        </w:rPr>
        <w:t xml:space="preserve">Joint Performance Improvements - the joint WAST and Health Board improvements that need to be undertaken. </w:t>
      </w:r>
    </w:p>
    <w:p w:rsidR="00A956BD" w:rsidRPr="00A956BD" w:rsidRDefault="00A956BD" w:rsidP="00A956BD">
      <w:pPr>
        <w:widowControl w:val="0"/>
        <w:autoSpaceDE w:val="0"/>
        <w:autoSpaceDN w:val="0"/>
        <w:spacing w:before="54" w:after="0" w:line="264" w:lineRule="exact"/>
        <w:ind w:left="567" w:right="680"/>
        <w:jc w:val="both"/>
        <w:rPr>
          <w:rFonts w:ascii="Calibri" w:eastAsia="Calibri" w:hAnsi="Calibri" w:cs="Calibri"/>
        </w:rPr>
      </w:pPr>
      <w:r w:rsidRPr="00A956BD">
        <w:rPr>
          <w:rFonts w:ascii="Calibri" w:eastAsia="Calibri" w:hAnsi="Calibri" w:cs="Calibri"/>
        </w:rPr>
        <w:t xml:space="preserve">These action plans in response to the commissioning intentions actions are documented within WAST, EASC and Health Boards IMTPs and progress on the delivery of the 2020/21 commissioning intentions will be through the EASC Management Group. </w:t>
      </w:r>
    </w:p>
    <w:p w:rsidR="00A956BD" w:rsidRPr="00A956BD" w:rsidRDefault="00A956BD" w:rsidP="00A956BD">
      <w:pPr>
        <w:widowControl w:val="0"/>
        <w:autoSpaceDE w:val="0"/>
        <w:autoSpaceDN w:val="0"/>
        <w:spacing w:before="54" w:after="0" w:line="264" w:lineRule="exact"/>
        <w:ind w:left="567" w:right="680"/>
        <w:jc w:val="both"/>
        <w:rPr>
          <w:rFonts w:ascii="Calibri" w:eastAsia="Calibri" w:hAnsi="Calibri" w:cs="Calibri"/>
        </w:rPr>
      </w:pPr>
      <w:r w:rsidRPr="00A956BD">
        <w:rPr>
          <w:rFonts w:ascii="Calibri" w:eastAsia="Calibri" w:hAnsi="Calibri" w:cs="Calibri"/>
        </w:rPr>
        <w:t xml:space="preserve">NCCU have also supplied each Health Board with a standard descriptor of EASC commissioned services for their IMTP in 2019/22.   </w:t>
      </w:r>
    </w:p>
    <w:p w:rsidR="00A956BD" w:rsidRPr="00A956BD" w:rsidRDefault="00A956BD" w:rsidP="00A956BD">
      <w:pPr>
        <w:widowControl w:val="0"/>
        <w:autoSpaceDE w:val="0"/>
        <w:autoSpaceDN w:val="0"/>
        <w:spacing w:before="54" w:after="0" w:line="264" w:lineRule="exact"/>
        <w:ind w:left="567" w:right="680"/>
        <w:jc w:val="both"/>
        <w:rPr>
          <w:rFonts w:ascii="Calibri" w:eastAsia="Calibri" w:hAnsi="Calibri" w:cs="Calibri"/>
        </w:rPr>
      </w:pPr>
    </w:p>
    <w:p w:rsidR="00A956BD" w:rsidRPr="00A956BD" w:rsidRDefault="00A956BD" w:rsidP="00A956BD">
      <w:pPr>
        <w:widowControl w:val="0"/>
        <w:numPr>
          <w:ilvl w:val="0"/>
          <w:numId w:val="13"/>
        </w:numPr>
        <w:autoSpaceDE w:val="0"/>
        <w:autoSpaceDN w:val="0"/>
        <w:spacing w:before="54" w:after="0" w:line="264" w:lineRule="exact"/>
        <w:ind w:left="1134" w:right="680" w:hanging="283"/>
        <w:jc w:val="both"/>
        <w:rPr>
          <w:rFonts w:ascii="Calibri" w:eastAsia="Calibri" w:hAnsi="Calibri" w:cs="Calibri"/>
        </w:rPr>
      </w:pPr>
      <w:r w:rsidRPr="00A956BD">
        <w:rPr>
          <w:rFonts w:ascii="Calibri" w:eastAsia="Calibri" w:hAnsi="Calibri" w:cs="Calibri"/>
        </w:rPr>
        <w:t xml:space="preserve">EMS 2020/21 Commissioning Intentions are attached as Appendix 2 </w:t>
      </w:r>
    </w:p>
    <w:p w:rsidR="00A956BD" w:rsidRPr="00A956BD" w:rsidRDefault="00A956BD" w:rsidP="00A956BD">
      <w:pPr>
        <w:widowControl w:val="0"/>
        <w:numPr>
          <w:ilvl w:val="0"/>
          <w:numId w:val="13"/>
        </w:numPr>
        <w:autoSpaceDE w:val="0"/>
        <w:autoSpaceDN w:val="0"/>
        <w:spacing w:before="54" w:after="0" w:line="264" w:lineRule="exact"/>
        <w:ind w:left="1134" w:right="680" w:hanging="283"/>
        <w:jc w:val="both"/>
        <w:rPr>
          <w:rFonts w:ascii="Calibri" w:eastAsia="Calibri" w:hAnsi="Calibri" w:cs="Calibri"/>
        </w:rPr>
      </w:pPr>
      <w:r w:rsidRPr="00A956BD">
        <w:rPr>
          <w:rFonts w:ascii="Calibri" w:eastAsia="Calibri" w:hAnsi="Calibri" w:cs="Calibri"/>
        </w:rPr>
        <w:t xml:space="preserve">NEPTS 2020/21 Commissioning Intentions are attached as Appendix 3 </w:t>
      </w:r>
    </w:p>
    <w:p w:rsidR="00A956BD" w:rsidRPr="00A956BD" w:rsidRDefault="00A956BD" w:rsidP="00A956BD">
      <w:pPr>
        <w:widowControl w:val="0"/>
        <w:numPr>
          <w:ilvl w:val="0"/>
          <w:numId w:val="13"/>
        </w:numPr>
        <w:autoSpaceDE w:val="0"/>
        <w:autoSpaceDN w:val="0"/>
        <w:spacing w:before="54" w:after="0" w:line="264" w:lineRule="exact"/>
        <w:ind w:left="1134" w:right="680" w:hanging="283"/>
        <w:jc w:val="both"/>
        <w:rPr>
          <w:rFonts w:ascii="Calibri" w:eastAsia="Calibri" w:hAnsi="Calibri" w:cs="Calibri"/>
        </w:rPr>
      </w:pPr>
      <w:r w:rsidRPr="00A956BD">
        <w:rPr>
          <w:rFonts w:ascii="Calibri" w:eastAsia="Calibri" w:hAnsi="Calibri" w:cs="Calibri"/>
        </w:rPr>
        <w:t xml:space="preserve">Actions Plans in response to these are attached as Appendix 4 (EMS) &amp; 5 (NEPTS) </w:t>
      </w:r>
    </w:p>
    <w:p w:rsidR="00A956BD" w:rsidRPr="00A956BD" w:rsidRDefault="00A956BD" w:rsidP="00A956BD">
      <w:pPr>
        <w:widowControl w:val="0"/>
        <w:autoSpaceDE w:val="0"/>
        <w:autoSpaceDN w:val="0"/>
        <w:spacing w:before="54" w:after="0" w:line="264" w:lineRule="exact"/>
        <w:ind w:left="567" w:right="680"/>
        <w:jc w:val="both"/>
        <w:rPr>
          <w:rFonts w:ascii="Calibri" w:eastAsia="Calibri" w:hAnsi="Calibri" w:cs="Calibri"/>
        </w:rPr>
      </w:pPr>
    </w:p>
    <w:p w:rsidR="00A956BD" w:rsidRPr="00A956BD" w:rsidRDefault="00A956BD" w:rsidP="00A956BD">
      <w:pPr>
        <w:keepNext/>
        <w:keepLines/>
        <w:numPr>
          <w:ilvl w:val="2"/>
          <w:numId w:val="0"/>
        </w:numPr>
        <w:spacing w:before="40" w:after="0"/>
        <w:ind w:left="1287" w:right="680" w:hanging="720"/>
        <w:outlineLvl w:val="2"/>
        <w:rPr>
          <w:rFonts w:asciiTheme="majorHAnsi" w:eastAsia="Cambria" w:hAnsiTheme="majorHAnsi" w:cstheme="majorBidi"/>
          <w:color w:val="1F4D78" w:themeColor="accent1" w:themeShade="7F"/>
          <w:sz w:val="28"/>
          <w:szCs w:val="24"/>
        </w:rPr>
      </w:pPr>
      <w:r w:rsidRPr="00A956BD">
        <w:rPr>
          <w:rFonts w:asciiTheme="majorHAnsi" w:eastAsia="Cambria" w:hAnsiTheme="majorHAnsi" w:cstheme="majorBidi"/>
          <w:color w:val="1F4D78" w:themeColor="accent1" w:themeShade="7F"/>
          <w:sz w:val="28"/>
          <w:szCs w:val="24"/>
        </w:rPr>
        <w:t xml:space="preserve">Future Developments and EASC Commissioned Services </w:t>
      </w:r>
    </w:p>
    <w:p w:rsidR="00A956BD" w:rsidRPr="00A956BD" w:rsidRDefault="00A956BD" w:rsidP="00A956BD">
      <w:pPr>
        <w:widowControl w:val="0"/>
        <w:autoSpaceDE w:val="0"/>
        <w:autoSpaceDN w:val="0"/>
        <w:spacing w:before="8" w:after="0" w:line="264" w:lineRule="exact"/>
        <w:ind w:left="567" w:right="680"/>
        <w:rPr>
          <w:rFonts w:ascii="Calibri" w:eastAsia="Calibri" w:hAnsi="Calibri" w:cs="Calibri"/>
        </w:rPr>
      </w:pPr>
      <w:r w:rsidRPr="00A956BD">
        <w:rPr>
          <w:rFonts w:ascii="Calibri" w:eastAsia="Calibri" w:hAnsi="Calibri" w:cs="Calibri"/>
        </w:rPr>
        <w:t xml:space="preserve">The Commissioning Development and Support Service will begin scoping and support existing work on behalf of EASC As well as supporting the scoping of new all Wales services, namely: </w:t>
      </w:r>
    </w:p>
    <w:p w:rsidR="00A956BD" w:rsidRPr="00A956BD" w:rsidRDefault="00A956BD" w:rsidP="00A956BD">
      <w:pPr>
        <w:widowControl w:val="0"/>
        <w:autoSpaceDE w:val="0"/>
        <w:autoSpaceDN w:val="0"/>
        <w:spacing w:before="8" w:after="0" w:line="264" w:lineRule="exact"/>
        <w:ind w:left="567" w:right="680"/>
        <w:rPr>
          <w:rFonts w:ascii="Calibri" w:eastAsia="Calibri" w:hAnsi="Calibri" w:cs="Calibri"/>
        </w:rPr>
      </w:pPr>
    </w:p>
    <w:p w:rsidR="00A956BD" w:rsidRPr="00A956BD" w:rsidRDefault="00A956BD" w:rsidP="00A956BD">
      <w:pPr>
        <w:widowControl w:val="0"/>
        <w:numPr>
          <w:ilvl w:val="3"/>
          <w:numId w:val="0"/>
        </w:numPr>
        <w:autoSpaceDE w:val="0"/>
        <w:autoSpaceDN w:val="0"/>
        <w:spacing w:after="0" w:line="240" w:lineRule="auto"/>
        <w:ind w:left="1429" w:right="680"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National Collaborative Commissioning Discharge and Transfer Quality &amp; Delivery Framework</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 xml:space="preserve">To scope and deliver a dedicated discharge and transfer service across Wales we will work with Welsh Ambulance Service Trust and Partners to develop a detailed during 2020 a business case and to develop a National Collaborative Commissioning Quality and Delivery Framework using the CAREMORE® method. This service will include the following components: </w:t>
      </w:r>
    </w:p>
    <w:p w:rsidR="00A956BD" w:rsidRPr="00A956BD" w:rsidRDefault="00A956BD" w:rsidP="00A956BD">
      <w:pPr>
        <w:widowControl w:val="0"/>
        <w:autoSpaceDE w:val="0"/>
        <w:autoSpaceDN w:val="0"/>
        <w:spacing w:after="0" w:line="240" w:lineRule="auto"/>
        <w:ind w:left="567" w:right="680"/>
        <w:jc w:val="both"/>
      </w:pPr>
    </w:p>
    <w:p w:rsidR="00A956BD" w:rsidRPr="00A956BD" w:rsidRDefault="00A956BD" w:rsidP="00A956BD">
      <w:pPr>
        <w:widowControl w:val="0"/>
        <w:autoSpaceDE w:val="0"/>
        <w:autoSpaceDN w:val="0"/>
        <w:spacing w:after="0" w:line="240" w:lineRule="auto"/>
        <w:ind w:left="567" w:right="680"/>
        <w:jc w:val="both"/>
        <w:outlineLvl w:val="4"/>
        <w:rPr>
          <w:rFonts w:ascii="Calibri" w:eastAsia="Calibri" w:hAnsi="Calibri" w:cs="Calibri"/>
          <w:color w:val="44546A" w:themeColor="text2"/>
        </w:rPr>
      </w:pPr>
      <w:r w:rsidRPr="00A956BD">
        <w:rPr>
          <w:rFonts w:ascii="Calibri" w:eastAsia="Calibri" w:hAnsi="Calibri" w:cs="Calibri"/>
          <w:color w:val="44546A" w:themeColor="text2"/>
        </w:rPr>
        <w:t>Critical Care transfers</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The Task and Finish Group on Critical Care: Final Report (Welsh Government, July 2019) set out the case for further improvements across critical care services in Wales.  A written statement by the Cabinet Secretary in July 2018 announcing the establishment of a nationally directed programme for critical care and £15m additional funding for critical care services in Wales from 2019-20 emphasised this as a priority in Wales.</w:t>
      </w:r>
    </w:p>
    <w:p w:rsidR="00A956BD" w:rsidRPr="00A956BD" w:rsidRDefault="00A956BD" w:rsidP="00A956BD">
      <w:pPr>
        <w:widowControl w:val="0"/>
        <w:autoSpaceDE w:val="0"/>
        <w:autoSpaceDN w:val="0"/>
        <w:spacing w:after="0" w:line="240" w:lineRule="auto"/>
        <w:ind w:left="567" w:right="680"/>
        <w:rPr>
          <w:rFonts w:ascii="Calibri" w:eastAsia="Calibri" w:hAnsi="Calibri" w:cs="Calibri"/>
        </w:rPr>
      </w:pPr>
    </w:p>
    <w:p w:rsidR="00A956BD" w:rsidRPr="00A956BD" w:rsidRDefault="00A956BD" w:rsidP="00A956BD">
      <w:pPr>
        <w:widowControl w:val="0"/>
        <w:tabs>
          <w:tab w:val="left" w:pos="709"/>
        </w:tabs>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Further, correspondence from the Deputy Chief Medical Officer in September 2019 provided confirmation of an indicative allocation of £1.7m to the Emergency Ambulance Service Committee (EASC) to develop a national transfer service for critically ill adults.  An implementation plan has been submitted to WG with the proposal that the new service operates as a parallel organisation within the EMRTS, delivered using a national collaborative commissioning quality and delivery framework under EASC.</w:t>
      </w:r>
    </w:p>
    <w:p w:rsidR="00A956BD" w:rsidRPr="00A956BD" w:rsidRDefault="00A956BD" w:rsidP="00A956BD">
      <w:pPr>
        <w:widowControl w:val="0"/>
        <w:tabs>
          <w:tab w:val="left" w:pos="709"/>
        </w:tabs>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outlineLvl w:val="4"/>
        <w:rPr>
          <w:rFonts w:ascii="Calibri" w:eastAsia="Calibri" w:hAnsi="Calibri" w:cs="Calibri"/>
          <w:color w:val="44546A" w:themeColor="text2"/>
        </w:rPr>
      </w:pPr>
      <w:r w:rsidRPr="00A956BD">
        <w:rPr>
          <w:rFonts w:ascii="Calibri" w:eastAsia="Calibri" w:hAnsi="Calibri" w:cs="Calibri"/>
          <w:color w:val="44546A" w:themeColor="text2"/>
        </w:rPr>
        <w:t>Inter Hospital Transport Grange University Hospital</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 xml:space="preserve">NCCU are working with Aneurin Bevan UHB and WAST to commission the new transport model for the Grange University Hospital opening April 2021.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 xml:space="preserve">Building on existing Emergency Ambulance and  Non-Emergency Patient Transport services on behalf of EASC and with WAST and Health Boards the NCCU will develop this model through the work it is undertaking to support the transport workstream of the Clinical Futures programme within Aneurin Bevan UHB for the Grange University Hospital.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 xml:space="preserve">This work will inform the development of the National Transport and Discharge service and the implementation of the clinical model across Aneurin Bevan UHB.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outlineLvl w:val="4"/>
        <w:rPr>
          <w:rFonts w:ascii="Calibri" w:eastAsia="Calibri" w:hAnsi="Calibri" w:cs="Calibri"/>
          <w:color w:val="44546A" w:themeColor="text2"/>
        </w:rPr>
      </w:pPr>
      <w:r w:rsidRPr="00A956BD">
        <w:rPr>
          <w:rFonts w:ascii="Calibri" w:eastAsia="Calibri" w:hAnsi="Calibri" w:cs="Calibri"/>
          <w:color w:val="44546A" w:themeColor="text2"/>
        </w:rPr>
        <w:t>Thrombectomy Repatriations</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 xml:space="preserve">The NCCU will be funded by and take commissioning responsibility from WHSSC for Stroke Thrombectomy patients who require cross border repatriation.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outlineLvl w:val="4"/>
        <w:rPr>
          <w:rFonts w:ascii="Calibri" w:eastAsia="Calibri" w:hAnsi="Calibri" w:cs="Calibri"/>
          <w:color w:val="44546A" w:themeColor="text2"/>
        </w:rPr>
      </w:pPr>
      <w:r w:rsidRPr="00A956BD">
        <w:rPr>
          <w:rFonts w:ascii="Calibri" w:eastAsia="Calibri" w:hAnsi="Calibri" w:cs="Calibri"/>
          <w:color w:val="44546A" w:themeColor="text2"/>
        </w:rPr>
        <w:t xml:space="preserve">Neonatal Transfers </w:t>
      </w:r>
    </w:p>
    <w:p w:rsidR="00A956BD" w:rsidRPr="00A956BD" w:rsidRDefault="00A956BD" w:rsidP="00A956BD">
      <w:pPr>
        <w:spacing w:before="56"/>
        <w:ind w:left="567" w:right="680"/>
        <w:jc w:val="both"/>
      </w:pPr>
      <w:r w:rsidRPr="00A956BD">
        <w:t xml:space="preserve">NCCU will work with WHSSC and other colleagues on the potential transfer of commissioning arrangements to EASC. </w:t>
      </w:r>
    </w:p>
    <w:p w:rsidR="00A956BD" w:rsidRPr="00A956BD" w:rsidRDefault="00A956BD" w:rsidP="00A956BD">
      <w:pPr>
        <w:ind w:left="567" w:right="680"/>
        <w:rPr>
          <w:color w:val="44546A" w:themeColor="text2"/>
        </w:rPr>
      </w:pPr>
      <w:r w:rsidRPr="00A956BD">
        <w:rPr>
          <w:color w:val="44546A" w:themeColor="text2"/>
        </w:rPr>
        <w:t xml:space="preserve">Major Trauma repatriations </w:t>
      </w:r>
    </w:p>
    <w:p w:rsidR="00A956BD" w:rsidRPr="00A956BD" w:rsidRDefault="00A956BD" w:rsidP="00A956BD">
      <w:pPr>
        <w:ind w:left="567" w:right="680"/>
      </w:pPr>
      <w:r w:rsidRPr="00A956BD">
        <w:t xml:space="preserve">The work will include ensuring patients requiring repatriation following major trauma are delivered effectively. </w:t>
      </w:r>
    </w:p>
    <w:p w:rsidR="00A956BD" w:rsidRPr="00A956BD" w:rsidRDefault="00A956BD" w:rsidP="00A956BD">
      <w:pPr>
        <w:widowControl w:val="0"/>
        <w:numPr>
          <w:ilvl w:val="3"/>
          <w:numId w:val="0"/>
        </w:numPr>
        <w:autoSpaceDE w:val="0"/>
        <w:autoSpaceDN w:val="0"/>
        <w:spacing w:after="0" w:line="240" w:lineRule="auto"/>
        <w:ind w:left="1429" w:right="680"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 xml:space="preserve">National Call Hander of Choice Quality and Delivery Framework </w:t>
      </w:r>
    </w:p>
    <w:p w:rsidR="00A956BD" w:rsidRPr="00A956BD" w:rsidRDefault="00A956BD" w:rsidP="00A956BD">
      <w:pPr>
        <w:widowControl w:val="0"/>
        <w:autoSpaceDE w:val="0"/>
        <w:autoSpaceDN w:val="0"/>
        <w:spacing w:before="56" w:after="0" w:line="240" w:lineRule="auto"/>
        <w:ind w:left="567" w:right="680"/>
        <w:jc w:val="both"/>
        <w:rPr>
          <w:rFonts w:ascii="Calibri" w:eastAsia="Calibri" w:hAnsi="Calibri" w:cs="Calibri"/>
        </w:rPr>
      </w:pPr>
      <w:r w:rsidRPr="00A956BD">
        <w:rPr>
          <w:rFonts w:ascii="Calibri" w:eastAsia="Calibri" w:hAnsi="Calibri" w:cs="Calibri"/>
        </w:rPr>
        <w:t xml:space="preserve">This work identified in the 2019/20 IMTP has already began. Within this IMTP round we will work collaboratively with WAST and Health Boards to define what good looks like for call handling services across NHS Wales. The insight gained through the EASC 1% Heathier Wales Commissioning allocation bidding process has seen innovative schemes from BCUHB &amp; SWUHB that use GPs to answer calls from the 999 stack and avoid hospital conveyance. These schemes identified through the Healthier Wales process have been agreed by EASC and by Welsh Government as WAST priority development areas. We will further look to maximising opportunities from existing services, i.e.  111, NHS Direct into the National Framework. </w:t>
      </w:r>
    </w:p>
    <w:p w:rsidR="00A956BD" w:rsidRPr="00A956BD" w:rsidRDefault="00A956BD" w:rsidP="00A956BD">
      <w:pPr>
        <w:widowControl w:val="0"/>
        <w:autoSpaceDE w:val="0"/>
        <w:autoSpaceDN w:val="0"/>
        <w:spacing w:before="56" w:after="0" w:line="240" w:lineRule="auto"/>
        <w:ind w:left="567" w:right="680"/>
        <w:jc w:val="both"/>
        <w:rPr>
          <w:rFonts w:ascii="Calibri" w:eastAsia="Calibri" w:hAnsi="Calibri" w:cs="Calibri"/>
        </w:rPr>
      </w:pPr>
    </w:p>
    <w:p w:rsidR="00A956BD" w:rsidRPr="00A956BD" w:rsidRDefault="00A956BD" w:rsidP="00A956BD">
      <w:pPr>
        <w:widowControl w:val="0"/>
        <w:numPr>
          <w:ilvl w:val="3"/>
          <w:numId w:val="0"/>
        </w:numPr>
        <w:autoSpaceDE w:val="0"/>
        <w:autoSpaceDN w:val="0"/>
        <w:spacing w:after="0" w:line="240" w:lineRule="auto"/>
        <w:ind w:left="1429" w:right="680"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 xml:space="preserve">National Enhanced Clinical Capacity &amp; Support Services Quality and Delivery Framework </w:t>
      </w:r>
    </w:p>
    <w:p w:rsidR="00A956BD" w:rsidRPr="00A956BD" w:rsidRDefault="00A956BD" w:rsidP="00A956BD">
      <w:pPr>
        <w:widowControl w:val="0"/>
        <w:autoSpaceDE w:val="0"/>
        <w:autoSpaceDN w:val="0"/>
        <w:spacing w:before="56" w:after="0" w:line="240" w:lineRule="auto"/>
        <w:ind w:left="567" w:right="680"/>
        <w:jc w:val="both"/>
        <w:rPr>
          <w:rFonts w:ascii="Calibri" w:eastAsia="Calibri" w:hAnsi="Calibri" w:cs="Calibri"/>
        </w:rPr>
      </w:pPr>
      <w:r w:rsidRPr="00A956BD">
        <w:rPr>
          <w:rFonts w:ascii="Calibri" w:hAnsi="Calibri" w:cs="Calibri"/>
          <w:color w:val="222222"/>
        </w:rPr>
        <w:t>We will develop a framework to deliver high quality, sustainable and efficient enhanced services</w:t>
      </w:r>
      <w:r w:rsidRPr="00A956BD">
        <w:rPr>
          <w:rFonts w:ascii="Calibri" w:eastAsia="Calibri" w:hAnsi="Calibri" w:cs="Calibri"/>
        </w:rPr>
        <w:t xml:space="preserve"> that could be rapidly deployed to support a reduction in unscheduled care system pressures or proactively reduce demand. Years 1 and 2 of this IMTP will focus on the development of;</w:t>
      </w:r>
    </w:p>
    <w:p w:rsidR="00A956BD" w:rsidRPr="00A956BD" w:rsidRDefault="00A956BD" w:rsidP="00A956BD">
      <w:pPr>
        <w:numPr>
          <w:ilvl w:val="0"/>
          <w:numId w:val="12"/>
        </w:numPr>
        <w:shd w:val="clear" w:color="auto" w:fill="FFFFFF"/>
        <w:spacing w:after="0" w:line="240" w:lineRule="auto"/>
        <w:ind w:left="1134" w:right="680" w:hanging="283"/>
        <w:rPr>
          <w:rFonts w:ascii="Calibri" w:eastAsia="Times New Roman" w:hAnsi="Calibri" w:cs="Calibri"/>
          <w:color w:val="222222"/>
          <w:lang w:eastAsia="en-GB"/>
        </w:rPr>
      </w:pPr>
      <w:r w:rsidRPr="00A956BD">
        <w:rPr>
          <w:rFonts w:ascii="Calibri" w:eastAsia="Times New Roman" w:hAnsi="Calibri" w:cs="Calibri"/>
          <w:color w:val="222222"/>
          <w:lang w:eastAsia="en-GB"/>
        </w:rPr>
        <w:t>Clinical capacity intervention service</w:t>
      </w:r>
    </w:p>
    <w:p w:rsidR="00A956BD" w:rsidRPr="00A956BD" w:rsidRDefault="00A956BD" w:rsidP="00A956BD">
      <w:pPr>
        <w:numPr>
          <w:ilvl w:val="0"/>
          <w:numId w:val="12"/>
        </w:numPr>
        <w:shd w:val="clear" w:color="auto" w:fill="FFFFFF"/>
        <w:spacing w:after="0" w:line="240" w:lineRule="auto"/>
        <w:ind w:left="1134" w:right="680" w:hanging="283"/>
        <w:rPr>
          <w:rFonts w:ascii="Calibri" w:eastAsia="Times New Roman" w:hAnsi="Calibri" w:cs="Calibri"/>
          <w:color w:val="222222"/>
          <w:lang w:eastAsia="en-GB"/>
        </w:rPr>
      </w:pPr>
      <w:r w:rsidRPr="00A956BD">
        <w:rPr>
          <w:rFonts w:ascii="Calibri" w:eastAsia="Times New Roman" w:hAnsi="Calibri" w:cs="Calibri"/>
          <w:color w:val="222222"/>
          <w:lang w:eastAsia="en-GB"/>
        </w:rPr>
        <w:t>All Wales non-injury falls provision (Level 1 – 3)</w:t>
      </w:r>
    </w:p>
    <w:p w:rsidR="00A956BD" w:rsidRPr="00A956BD" w:rsidRDefault="00A956BD" w:rsidP="00A956BD">
      <w:pPr>
        <w:numPr>
          <w:ilvl w:val="0"/>
          <w:numId w:val="12"/>
        </w:numPr>
        <w:shd w:val="clear" w:color="auto" w:fill="FFFFFF"/>
        <w:spacing w:after="0" w:line="240" w:lineRule="auto"/>
        <w:ind w:left="1134" w:right="680" w:hanging="283"/>
        <w:rPr>
          <w:rFonts w:ascii="Calibri" w:eastAsia="Times New Roman" w:hAnsi="Calibri" w:cs="Calibri"/>
          <w:color w:val="222222"/>
          <w:lang w:eastAsia="en-GB"/>
        </w:rPr>
      </w:pPr>
      <w:r w:rsidRPr="00A956BD">
        <w:rPr>
          <w:rFonts w:ascii="Calibri" w:eastAsia="Times New Roman" w:hAnsi="Calibri" w:cs="Calibri"/>
          <w:color w:val="222222"/>
          <w:lang w:eastAsia="en-GB"/>
        </w:rPr>
        <w:t xml:space="preserve">End of Life Services </w:t>
      </w:r>
    </w:p>
    <w:p w:rsidR="00A956BD" w:rsidRPr="00A956BD" w:rsidRDefault="00A956BD" w:rsidP="00A956BD">
      <w:pPr>
        <w:numPr>
          <w:ilvl w:val="0"/>
          <w:numId w:val="12"/>
        </w:numPr>
        <w:shd w:val="clear" w:color="auto" w:fill="FFFFFF"/>
        <w:spacing w:after="0" w:line="240" w:lineRule="auto"/>
        <w:ind w:left="1134" w:right="680" w:hanging="283"/>
        <w:rPr>
          <w:rFonts w:ascii="Calibri" w:eastAsia="Times New Roman" w:hAnsi="Calibri" w:cs="Calibri"/>
          <w:color w:val="222222"/>
          <w:lang w:eastAsia="en-GB"/>
        </w:rPr>
      </w:pPr>
      <w:r w:rsidRPr="00A956BD">
        <w:rPr>
          <w:rFonts w:ascii="Calibri" w:eastAsia="Times New Roman" w:hAnsi="Calibri" w:cs="Calibri"/>
          <w:color w:val="222222"/>
          <w:lang w:eastAsia="en-GB"/>
        </w:rPr>
        <w:t xml:space="preserve">Priority developments by WAST using </w:t>
      </w:r>
      <w:r w:rsidRPr="00A956BD">
        <w:rPr>
          <w:rFonts w:ascii="Calibri" w:eastAsia="Calibri" w:hAnsi="Calibri" w:cs="Calibri"/>
          <w:lang w:eastAsia="en-GB"/>
        </w:rPr>
        <w:t xml:space="preserve">multi-disciplinary teams to prevent hospital conveyance. </w:t>
      </w:r>
    </w:p>
    <w:p w:rsidR="00A956BD" w:rsidRPr="00A956BD" w:rsidRDefault="00A956BD" w:rsidP="00A956BD">
      <w:pPr>
        <w:shd w:val="clear" w:color="auto" w:fill="FFFFFF"/>
        <w:spacing w:after="0" w:line="240" w:lineRule="auto"/>
        <w:ind w:left="1701" w:right="680"/>
        <w:rPr>
          <w:rFonts w:ascii="Calibri" w:eastAsia="Times New Roman" w:hAnsi="Calibri" w:cs="Calibri"/>
          <w:color w:val="222222"/>
          <w:lang w:eastAsia="en-GB"/>
        </w:rPr>
      </w:pPr>
    </w:p>
    <w:p w:rsidR="00A956BD" w:rsidRPr="00A956BD" w:rsidRDefault="00A956BD" w:rsidP="00A956BD">
      <w:pPr>
        <w:widowControl w:val="0"/>
        <w:numPr>
          <w:ilvl w:val="3"/>
          <w:numId w:val="0"/>
        </w:numPr>
        <w:autoSpaceDE w:val="0"/>
        <w:autoSpaceDN w:val="0"/>
        <w:spacing w:after="0" w:line="240" w:lineRule="auto"/>
        <w:ind w:left="1429" w:right="680"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 xml:space="preserve">Supporting the national commissioning of transport to support major service change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 xml:space="preserve">EASC will support the commissioning of the transport component of major service change across Wales. These include: </w:t>
      </w:r>
    </w:p>
    <w:p w:rsidR="00A956BD" w:rsidRPr="00A956BD" w:rsidRDefault="00A956BD" w:rsidP="00A956BD">
      <w:pPr>
        <w:widowControl w:val="0"/>
        <w:autoSpaceDE w:val="0"/>
        <w:autoSpaceDN w:val="0"/>
        <w:spacing w:after="0" w:line="240" w:lineRule="auto"/>
        <w:ind w:left="567" w:right="680"/>
        <w:rPr>
          <w:rFonts w:ascii="Calibri" w:eastAsia="Calibri" w:hAnsi="Calibri" w:cs="Calibri"/>
          <w:b/>
        </w:rPr>
      </w:pPr>
    </w:p>
    <w:p w:rsidR="00A956BD" w:rsidRPr="00A956BD" w:rsidRDefault="00A956BD" w:rsidP="00A956BD">
      <w:pPr>
        <w:widowControl w:val="0"/>
        <w:autoSpaceDE w:val="0"/>
        <w:autoSpaceDN w:val="0"/>
        <w:spacing w:after="0" w:line="240" w:lineRule="auto"/>
        <w:ind w:left="567" w:right="680"/>
        <w:jc w:val="both"/>
        <w:outlineLvl w:val="4"/>
        <w:rPr>
          <w:rFonts w:ascii="Calibri" w:eastAsia="Calibri" w:hAnsi="Calibri" w:cs="Calibri"/>
          <w:color w:val="44546A" w:themeColor="text2"/>
        </w:rPr>
      </w:pPr>
      <w:r w:rsidRPr="00A956BD">
        <w:rPr>
          <w:rFonts w:ascii="Calibri" w:eastAsia="Calibri" w:hAnsi="Calibri" w:cs="Calibri"/>
          <w:color w:val="44546A" w:themeColor="text2"/>
        </w:rPr>
        <w:t>EMRTS Hours expansion</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The service, in collaboration with EASC and the Wales Air Ambulance Charity, has developed a fully costed proposal for a staged 24-hour operation.  The EMRTS Service Expansion Review has been approved by Welsh Government with the 24-hour service commencing on 1</w:t>
      </w:r>
      <w:r w:rsidRPr="00A956BD">
        <w:rPr>
          <w:rFonts w:ascii="Calibri" w:eastAsia="Calibri" w:hAnsi="Calibri" w:cs="Calibri"/>
          <w:vertAlign w:val="superscript"/>
        </w:rPr>
        <w:t>st</w:t>
      </w:r>
      <w:r w:rsidRPr="00A956BD">
        <w:rPr>
          <w:rFonts w:ascii="Calibri" w:eastAsia="Calibri" w:hAnsi="Calibri" w:cs="Calibri"/>
        </w:rPr>
        <w:t xml:space="preserve"> April 2020.</w:t>
      </w:r>
    </w:p>
    <w:p w:rsidR="00A956BD" w:rsidRPr="00A956BD" w:rsidRDefault="00A956BD" w:rsidP="00A956BD">
      <w:pPr>
        <w:widowControl w:val="0"/>
        <w:spacing w:after="0" w:line="240" w:lineRule="auto"/>
        <w:ind w:left="567" w:right="680"/>
        <w:jc w:val="both"/>
        <w:rPr>
          <w:rFonts w:ascii="Calibri" w:eastAsia="Calibri" w:hAnsi="Calibri" w:cs="Calibri"/>
        </w:rPr>
      </w:pPr>
    </w:p>
    <w:p w:rsidR="00A956BD" w:rsidRPr="00A956BD" w:rsidRDefault="00A956BD" w:rsidP="00A956BD">
      <w:pPr>
        <w:widowControl w:val="0"/>
        <w:spacing w:after="0" w:line="240" w:lineRule="auto"/>
        <w:ind w:left="567" w:right="680"/>
        <w:jc w:val="both"/>
        <w:rPr>
          <w:rFonts w:ascii="Calibri" w:eastAsia="Calibri" w:hAnsi="Calibri" w:cs="Calibri"/>
        </w:rPr>
      </w:pPr>
      <w:r w:rsidRPr="00A956BD">
        <w:rPr>
          <w:rFonts w:ascii="Calibri" w:eastAsia="Calibri" w:hAnsi="Calibri" w:cs="Calibri"/>
        </w:rPr>
        <w:t xml:space="preserve">The service expansion project is currently the focus for the service with good progress having been made in planning for the expanded service and in recruiting the required additional staff.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pBdr>
          <w:top w:val="nil"/>
          <w:left w:val="nil"/>
          <w:bottom w:val="nil"/>
          <w:right w:val="nil"/>
          <w:between w:val="nil"/>
          <w:bar w:val="nil"/>
        </w:pBdr>
        <w:spacing w:after="0" w:line="240" w:lineRule="auto"/>
        <w:ind w:left="567" w:right="680"/>
        <w:jc w:val="both"/>
        <w:rPr>
          <w:rFonts w:ascii="Calibri" w:eastAsia="Calibri" w:hAnsi="Calibri" w:cs="Calibri"/>
        </w:rPr>
      </w:pPr>
      <w:r w:rsidRPr="00A956BD">
        <w:rPr>
          <w:rFonts w:ascii="Calibri" w:eastAsia="Calibri" w:hAnsi="Calibri" w:cs="Calibri"/>
        </w:rPr>
        <w:t>The preferred option presented by the Review provides (in addition to the existing 12-hour 3 base model):</w:t>
      </w:r>
    </w:p>
    <w:p w:rsidR="00A956BD" w:rsidRPr="00A956BD" w:rsidRDefault="00A956BD" w:rsidP="00A956BD">
      <w:pPr>
        <w:widowControl w:val="0"/>
        <w:numPr>
          <w:ilvl w:val="0"/>
          <w:numId w:val="6"/>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2000-0800: Consultant, CCP at a North Wales base</w:t>
      </w:r>
    </w:p>
    <w:p w:rsidR="00A956BD" w:rsidRPr="00A956BD" w:rsidRDefault="00A956BD" w:rsidP="00A956BD">
      <w:pPr>
        <w:widowControl w:val="0"/>
        <w:numPr>
          <w:ilvl w:val="0"/>
          <w:numId w:val="6"/>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2000-0800: Consultant, CCP at a South Wales base</w:t>
      </w:r>
    </w:p>
    <w:p w:rsidR="00A956BD" w:rsidRPr="00A956BD" w:rsidRDefault="00A956BD" w:rsidP="00A956BD">
      <w:pPr>
        <w:widowControl w:val="0"/>
        <w:numPr>
          <w:ilvl w:val="0"/>
          <w:numId w:val="6"/>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2000-0800: Double pilot crew and aircraft, available at a South Wales base to support either crew</w:t>
      </w:r>
    </w:p>
    <w:p w:rsidR="00A956BD" w:rsidRPr="00A956BD" w:rsidRDefault="00A956BD" w:rsidP="00A956BD">
      <w:pPr>
        <w:widowControl w:val="0"/>
        <w:numPr>
          <w:ilvl w:val="0"/>
          <w:numId w:val="6"/>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1400-0200: Consultant, CCP and RRV to meet the main peak of unmet demand</w:t>
      </w:r>
    </w:p>
    <w:p w:rsidR="00A956BD" w:rsidRPr="00A956BD" w:rsidRDefault="00A956BD" w:rsidP="00A956BD">
      <w:pPr>
        <w:widowControl w:val="0"/>
        <w:numPr>
          <w:ilvl w:val="0"/>
          <w:numId w:val="6"/>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Extension of operating hours of Air Support Desk to cover whole 24 hour</w:t>
      </w:r>
      <w:r w:rsidRPr="00A956BD">
        <w:rPr>
          <w:rFonts w:ascii="Calibri" w:eastAsia="Calibri" w:hAnsi="Calibri" w:cs="Calibri"/>
          <w:b/>
        </w:rPr>
        <w:t xml:space="preserve"> </w:t>
      </w:r>
      <w:r w:rsidRPr="00A956BD">
        <w:rPr>
          <w:rFonts w:ascii="Calibri" w:eastAsia="Calibri" w:hAnsi="Calibri" w:cs="Calibri"/>
        </w:rPr>
        <w:t>period</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lastRenderedPageBreak/>
        <w:t>The preferred option includes 3 operational rotas with an indicative implementation timescale of 12 months per rota/phase.  The timescale will ensure:</w:t>
      </w:r>
    </w:p>
    <w:p w:rsidR="00A956BD" w:rsidRPr="00A956BD" w:rsidRDefault="00A956BD" w:rsidP="00A956BD">
      <w:pPr>
        <w:widowControl w:val="0"/>
        <w:numPr>
          <w:ilvl w:val="0"/>
          <w:numId w:val="7"/>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 xml:space="preserve">delivery of a robust implementation plan </w:t>
      </w:r>
    </w:p>
    <w:p w:rsidR="00A956BD" w:rsidRPr="00A956BD" w:rsidRDefault="00A956BD" w:rsidP="00A956BD">
      <w:pPr>
        <w:widowControl w:val="0"/>
        <w:numPr>
          <w:ilvl w:val="0"/>
          <w:numId w:val="7"/>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appropriate evaluation</w:t>
      </w:r>
    </w:p>
    <w:p w:rsidR="00A956BD" w:rsidRPr="00A956BD" w:rsidRDefault="00A956BD" w:rsidP="00A956BD">
      <w:pPr>
        <w:widowControl w:val="0"/>
        <w:numPr>
          <w:ilvl w:val="0"/>
          <w:numId w:val="7"/>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minimal impact on the existing core EMRTS 12 hour service</w:t>
      </w:r>
    </w:p>
    <w:p w:rsidR="00A956BD" w:rsidRPr="00A956BD" w:rsidRDefault="00A956BD" w:rsidP="00A956BD">
      <w:pPr>
        <w:widowControl w:val="0"/>
        <w:numPr>
          <w:ilvl w:val="0"/>
          <w:numId w:val="7"/>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consolidation of the expanded service before progressing to the next phase as directed by EMRTS DAG</w:t>
      </w:r>
    </w:p>
    <w:p w:rsidR="00A956BD" w:rsidRPr="00A956BD" w:rsidRDefault="00A956BD" w:rsidP="00A956BD">
      <w:pPr>
        <w:widowControl w:val="0"/>
        <w:autoSpaceDE w:val="0"/>
        <w:autoSpaceDN w:val="0"/>
        <w:spacing w:after="0" w:line="240" w:lineRule="auto"/>
        <w:ind w:left="1134" w:right="680" w:hanging="283"/>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Phase 1 will deliver the following:</w:t>
      </w:r>
    </w:p>
    <w:p w:rsidR="00A956BD" w:rsidRPr="00A956BD" w:rsidRDefault="00A956BD" w:rsidP="00A956BD">
      <w:pPr>
        <w:widowControl w:val="0"/>
        <w:numPr>
          <w:ilvl w:val="0"/>
          <w:numId w:val="8"/>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2000-0800: Consultant, CCP, RRV, dual pilot crew and aircraft at Cardiff Heliport with the ability to be tasked anywhere in Wales</w:t>
      </w:r>
    </w:p>
    <w:p w:rsidR="00A956BD" w:rsidRPr="00A956BD" w:rsidRDefault="00A956BD" w:rsidP="00A956BD">
      <w:pPr>
        <w:widowControl w:val="0"/>
        <w:numPr>
          <w:ilvl w:val="0"/>
          <w:numId w:val="8"/>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 xml:space="preserve">Extension of ASD to 24 hour working to support the above operation in terms of communications, logistics, liaison with emergency agencies. </w:t>
      </w:r>
    </w:p>
    <w:p w:rsidR="00A956BD" w:rsidRPr="00A956BD" w:rsidRDefault="00A956BD" w:rsidP="00A956BD">
      <w:pPr>
        <w:widowControl w:val="0"/>
        <w:numPr>
          <w:ilvl w:val="0"/>
          <w:numId w:val="8"/>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Recruitment of support staff</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It is important to note that all regions of Wales will benefit from each implementation phase and the 3 operational rotas included within the preferred option demonstrate a commitment to ensuring equity for the population of Wales, in line with the key investment objectives.</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autoSpaceDE w:val="0"/>
        <w:autoSpaceDN w:val="0"/>
        <w:adjustRightInd w:val="0"/>
        <w:spacing w:after="0" w:line="240" w:lineRule="auto"/>
        <w:ind w:left="567" w:right="680"/>
        <w:jc w:val="both"/>
        <w:rPr>
          <w:rFonts w:ascii="Calibri" w:eastAsia="Calibri" w:hAnsi="Calibri" w:cs="Calibri"/>
          <w:color w:val="000000"/>
        </w:rPr>
      </w:pPr>
      <w:r w:rsidRPr="00A956BD">
        <w:rPr>
          <w:rFonts w:ascii="Calibri" w:eastAsia="Calibri" w:hAnsi="Calibri" w:cs="Calibri"/>
          <w:color w:val="000000"/>
        </w:rPr>
        <w:t xml:space="preserve">The funding requirements for the preferred option are: </w:t>
      </w:r>
    </w:p>
    <w:p w:rsidR="00A956BD" w:rsidRPr="00A956BD" w:rsidRDefault="00A956BD" w:rsidP="00A956BD">
      <w:pPr>
        <w:widowControl w:val="0"/>
        <w:numPr>
          <w:ilvl w:val="0"/>
          <w:numId w:val="9"/>
        </w:numPr>
        <w:autoSpaceDE w:val="0"/>
        <w:autoSpaceDN w:val="0"/>
        <w:adjustRightInd w:val="0"/>
        <w:spacing w:after="0" w:line="240" w:lineRule="auto"/>
        <w:ind w:left="1134" w:right="680" w:hanging="283"/>
        <w:jc w:val="both"/>
        <w:rPr>
          <w:rFonts w:ascii="Calibri" w:eastAsia="Calibri" w:hAnsi="Calibri" w:cs="Calibri"/>
          <w:color w:val="000000"/>
        </w:rPr>
      </w:pPr>
      <w:r w:rsidRPr="00A956BD">
        <w:rPr>
          <w:rFonts w:ascii="Calibri" w:eastAsia="Calibri" w:hAnsi="Calibri" w:cs="Calibri"/>
          <w:color w:val="000000"/>
        </w:rPr>
        <w:t>Initial capital costs of £0.707m and subsequent costs of £1.61m over a ten year period</w:t>
      </w:r>
    </w:p>
    <w:p w:rsidR="00A956BD" w:rsidRPr="00A956BD" w:rsidRDefault="00A956BD" w:rsidP="00A956BD">
      <w:pPr>
        <w:widowControl w:val="0"/>
        <w:numPr>
          <w:ilvl w:val="0"/>
          <w:numId w:val="9"/>
        </w:numPr>
        <w:autoSpaceDE w:val="0"/>
        <w:autoSpaceDN w:val="0"/>
        <w:adjustRightInd w:val="0"/>
        <w:spacing w:after="0" w:line="240" w:lineRule="auto"/>
        <w:ind w:left="1134" w:right="680" w:hanging="283"/>
        <w:jc w:val="both"/>
        <w:rPr>
          <w:rFonts w:ascii="Calibri" w:eastAsia="Calibri" w:hAnsi="Calibri" w:cs="Calibri"/>
          <w:color w:val="000000"/>
        </w:rPr>
      </w:pPr>
      <w:r w:rsidRPr="00A956BD">
        <w:rPr>
          <w:rFonts w:ascii="Calibri" w:eastAsia="Calibri" w:hAnsi="Calibri" w:cs="Calibri"/>
          <w:color w:val="000000"/>
        </w:rPr>
        <w:t>One-off revenue costs relating to recruitment and training of £0.564m over the project phases</w:t>
      </w:r>
    </w:p>
    <w:p w:rsidR="00A956BD" w:rsidRPr="00A956BD" w:rsidRDefault="00A956BD" w:rsidP="00A956BD">
      <w:pPr>
        <w:widowControl w:val="0"/>
        <w:numPr>
          <w:ilvl w:val="0"/>
          <w:numId w:val="9"/>
        </w:numPr>
        <w:autoSpaceDE w:val="0"/>
        <w:autoSpaceDN w:val="0"/>
        <w:adjustRightInd w:val="0"/>
        <w:spacing w:after="0" w:line="240" w:lineRule="auto"/>
        <w:ind w:left="1134" w:right="680" w:hanging="283"/>
        <w:jc w:val="both"/>
        <w:rPr>
          <w:rFonts w:ascii="Calibri" w:eastAsia="Calibri" w:hAnsi="Calibri" w:cs="Calibri"/>
          <w:color w:val="000000"/>
        </w:rPr>
      </w:pPr>
      <w:r w:rsidRPr="00A956BD">
        <w:rPr>
          <w:rFonts w:ascii="Calibri" w:eastAsia="Calibri" w:hAnsi="Calibri" w:cs="Calibri"/>
          <w:color w:val="000000"/>
        </w:rPr>
        <w:t>Recurring revenue costs of £3.1m (£3.162m from year 4)</w:t>
      </w:r>
    </w:p>
    <w:p w:rsidR="00A956BD" w:rsidRPr="00A956BD" w:rsidRDefault="00A956BD" w:rsidP="00A956BD">
      <w:pPr>
        <w:widowControl w:val="0"/>
        <w:numPr>
          <w:ilvl w:val="0"/>
          <w:numId w:val="9"/>
        </w:numPr>
        <w:autoSpaceDE w:val="0"/>
        <w:autoSpaceDN w:val="0"/>
        <w:adjustRightInd w:val="0"/>
        <w:spacing w:after="0" w:line="240" w:lineRule="auto"/>
        <w:ind w:left="1134" w:right="680" w:hanging="283"/>
        <w:jc w:val="both"/>
        <w:rPr>
          <w:rFonts w:ascii="Calibri" w:eastAsia="Calibri" w:hAnsi="Calibri" w:cs="Calibri"/>
          <w:color w:val="000000"/>
        </w:rPr>
      </w:pPr>
      <w:r w:rsidRPr="00A956BD">
        <w:rPr>
          <w:rFonts w:ascii="Calibri" w:eastAsia="Calibri" w:hAnsi="Calibri" w:cs="Calibri"/>
          <w:color w:val="000000"/>
        </w:rPr>
        <w:t xml:space="preserve">Non-recurring costs of £91k </w:t>
      </w:r>
    </w:p>
    <w:p w:rsidR="00A956BD" w:rsidRPr="00A956BD" w:rsidRDefault="00A956BD" w:rsidP="00A956BD">
      <w:pPr>
        <w:widowControl w:val="0"/>
        <w:autoSpaceDE w:val="0"/>
        <w:autoSpaceDN w:val="0"/>
        <w:spacing w:after="0" w:line="240" w:lineRule="auto"/>
        <w:ind w:left="567" w:right="680"/>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outlineLvl w:val="4"/>
        <w:rPr>
          <w:rFonts w:ascii="Calibri" w:eastAsia="Calibri" w:hAnsi="Calibri" w:cs="Calibri"/>
          <w:color w:val="44546A" w:themeColor="text2"/>
        </w:rPr>
      </w:pPr>
      <w:r w:rsidRPr="00A956BD">
        <w:rPr>
          <w:rFonts w:ascii="Calibri" w:eastAsia="Calibri" w:hAnsi="Calibri" w:cs="Calibri"/>
          <w:color w:val="44546A" w:themeColor="text2"/>
        </w:rPr>
        <w:t>South Wales Major Trauma Network</w:t>
      </w:r>
    </w:p>
    <w:p w:rsidR="00A956BD" w:rsidRPr="00A956BD" w:rsidRDefault="00A956BD" w:rsidP="00A956BD">
      <w:pPr>
        <w:widowControl w:val="0"/>
        <w:spacing w:after="0" w:line="240" w:lineRule="auto"/>
        <w:ind w:left="567" w:right="680"/>
        <w:jc w:val="both"/>
        <w:rPr>
          <w:rFonts w:ascii="Calibri" w:eastAsia="Calibri" w:hAnsi="Calibri" w:cs="Calibri"/>
        </w:rPr>
      </w:pPr>
      <w:r w:rsidRPr="00A956BD">
        <w:rPr>
          <w:rFonts w:ascii="Calibri" w:eastAsia="Calibri" w:hAnsi="Calibri" w:cs="Calibri"/>
        </w:rPr>
        <w:t>The NHS Wales Health Collaborative has been developing a Trauma Network for South and West Wales and South Powys. One of the key enablers of introducing a successful trauma network in South Wales has been identified as the availability of 24/7 enhanced care teams (NHS Clinical Advisory Group Report 2010).  The EMRTS already provides pre‐hospital critical care and advanced decision-making to this subset of patients, and provides time-critical transfers to those patients requiring a higher level of care. This provision would be strengthened with a 24/7 service but EMRTS may also play a role in the coordination of major trauma patient’s care via the ASD, consultant advice and ensuring that smaller hospitals are supported in the care and onwards transfer of these patients via EMRTS clinical teams.</w:t>
      </w:r>
    </w:p>
    <w:p w:rsidR="00A956BD" w:rsidRPr="00A956BD" w:rsidRDefault="00A956BD" w:rsidP="00A956BD">
      <w:pPr>
        <w:widowControl w:val="0"/>
        <w:spacing w:after="0" w:line="240" w:lineRule="auto"/>
        <w:ind w:left="567" w:right="680"/>
        <w:jc w:val="both"/>
        <w:rPr>
          <w:rFonts w:ascii="Calibri" w:eastAsia="Calibri" w:hAnsi="Calibri" w:cs="Calibri"/>
        </w:rPr>
      </w:pPr>
    </w:p>
    <w:p w:rsidR="00A956BD" w:rsidRPr="00A956BD" w:rsidRDefault="00A956BD" w:rsidP="00A956BD">
      <w:pPr>
        <w:widowControl w:val="0"/>
        <w:spacing w:after="0" w:line="240" w:lineRule="auto"/>
        <w:ind w:left="567" w:right="680"/>
        <w:jc w:val="both"/>
        <w:rPr>
          <w:rFonts w:ascii="Calibri" w:eastAsia="Calibri" w:hAnsi="Calibri" w:cs="Calibri"/>
        </w:rPr>
      </w:pPr>
      <w:r w:rsidRPr="00A956BD">
        <w:rPr>
          <w:rFonts w:ascii="Calibri" w:eastAsia="Calibri" w:hAnsi="Calibri" w:cs="Calibri"/>
        </w:rPr>
        <w:t>We have also supported the WAST component and business case submissions for the ambulance contribution to the South Wales Major Trauma Network.</w:t>
      </w:r>
    </w:p>
    <w:p w:rsidR="00A956BD" w:rsidRPr="00A956BD" w:rsidRDefault="00A956BD" w:rsidP="00A956BD">
      <w:pPr>
        <w:widowControl w:val="0"/>
        <w:spacing w:after="0" w:line="240" w:lineRule="auto"/>
        <w:ind w:left="567" w:right="680"/>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outlineLvl w:val="4"/>
        <w:rPr>
          <w:rFonts w:ascii="Calibri" w:eastAsia="Calibri" w:hAnsi="Calibri" w:cs="Calibri"/>
          <w:color w:val="44546A" w:themeColor="text2"/>
        </w:rPr>
      </w:pPr>
      <w:r w:rsidRPr="00A956BD">
        <w:rPr>
          <w:rFonts w:ascii="Calibri" w:eastAsia="Calibri" w:hAnsi="Calibri" w:cs="Calibri"/>
          <w:color w:val="44546A" w:themeColor="text2"/>
        </w:rPr>
        <w:t>Health Board strategic change</w:t>
      </w:r>
    </w:p>
    <w:p w:rsidR="00A956BD" w:rsidRPr="00A956BD" w:rsidRDefault="00A956BD" w:rsidP="00A956BD">
      <w:pPr>
        <w:widowControl w:val="0"/>
        <w:spacing w:after="0" w:line="240" w:lineRule="auto"/>
        <w:ind w:left="567" w:right="680"/>
        <w:jc w:val="both"/>
        <w:rPr>
          <w:rFonts w:ascii="Calibri" w:eastAsia="Calibri" w:hAnsi="Calibri" w:cs="Calibri"/>
        </w:rPr>
      </w:pPr>
      <w:r w:rsidRPr="00A956BD">
        <w:rPr>
          <w:rFonts w:ascii="Calibri" w:eastAsia="Calibri" w:hAnsi="Calibri" w:cs="Calibri"/>
        </w:rPr>
        <w:t>There are many strategic change programmes underway across NHS Wales.  These for ambulance services are captured as part of the commissioning process. A list of these schemes is attached as Appendix 7. Some of these have clear implications for the transfer of critically ill and injured patients around the clock and EMRTS is committed to supporting these where appropriate.</w:t>
      </w:r>
    </w:p>
    <w:p w:rsidR="00A956BD" w:rsidRPr="00A956BD" w:rsidRDefault="00A956BD" w:rsidP="00A956BD">
      <w:pPr>
        <w:widowControl w:val="0"/>
        <w:autoSpaceDE w:val="0"/>
        <w:autoSpaceDN w:val="0"/>
        <w:spacing w:before="5" w:after="0" w:line="240" w:lineRule="auto"/>
        <w:ind w:left="567" w:right="680"/>
        <w:rPr>
          <w:rFonts w:ascii="Calibri" w:eastAsia="Calibri" w:hAnsi="Calibri" w:cs="Calibri"/>
        </w:rPr>
      </w:pPr>
    </w:p>
    <w:p w:rsidR="00A956BD" w:rsidRPr="00A956BD" w:rsidRDefault="00A956BD" w:rsidP="00A956BD">
      <w:pPr>
        <w:rPr>
          <w:rFonts w:ascii="Calibri" w:eastAsia="Calibri" w:hAnsi="Calibri" w:cs="Calibri"/>
          <w:highlight w:val="yellow"/>
        </w:rPr>
      </w:pPr>
      <w:r w:rsidRPr="00A956BD">
        <w:rPr>
          <w:highlight w:val="yellow"/>
        </w:rPr>
        <w:br w:type="page"/>
      </w:r>
    </w:p>
    <w:p w:rsidR="00A956BD" w:rsidRPr="00A956BD" w:rsidRDefault="00A956BD" w:rsidP="00A956BD">
      <w:pPr>
        <w:widowControl w:val="0"/>
        <w:autoSpaceDE w:val="0"/>
        <w:autoSpaceDN w:val="0"/>
        <w:spacing w:after="0" w:line="240" w:lineRule="auto"/>
        <w:ind w:left="1134" w:right="680"/>
        <w:jc w:val="both"/>
        <w:rPr>
          <w:rFonts w:ascii="Calibri" w:eastAsia="Calibri" w:hAnsi="Calibri" w:cs="Calibri"/>
          <w:highlight w:val="yellow"/>
        </w:rPr>
      </w:pPr>
    </w:p>
    <w:p w:rsidR="00A956BD" w:rsidRPr="00A956BD" w:rsidRDefault="00A956BD" w:rsidP="00A956BD">
      <w:pPr>
        <w:keepNext/>
        <w:keepLines/>
        <w:numPr>
          <w:ilvl w:val="1"/>
          <w:numId w:val="0"/>
        </w:numPr>
        <w:spacing w:before="40" w:after="0"/>
        <w:ind w:left="1145" w:right="680" w:hanging="578"/>
        <w:outlineLvl w:val="1"/>
        <w:rPr>
          <w:rFonts w:asciiTheme="majorHAnsi" w:eastAsia="Cambria" w:hAnsiTheme="majorHAnsi" w:cstheme="majorBidi"/>
          <w:b/>
          <w:color w:val="1F4E79" w:themeColor="accent1" w:themeShade="80"/>
          <w:sz w:val="32"/>
          <w:szCs w:val="26"/>
        </w:rPr>
      </w:pPr>
      <w:bookmarkStart w:id="6" w:name="_Toc30755885"/>
      <w:r w:rsidRPr="00A956BD">
        <w:rPr>
          <w:rFonts w:asciiTheme="majorHAnsi" w:eastAsia="Cambria" w:hAnsiTheme="majorHAnsi" w:cstheme="majorBidi"/>
          <w:b/>
          <w:color w:val="1F4E79" w:themeColor="accent1" w:themeShade="80"/>
          <w:sz w:val="32"/>
          <w:szCs w:val="26"/>
        </w:rPr>
        <w:t>Quality Assurance &amp; Improvement</w:t>
      </w:r>
      <w:bookmarkEnd w:id="6"/>
      <w:r w:rsidRPr="00A956BD">
        <w:rPr>
          <w:rFonts w:asciiTheme="majorHAnsi" w:eastAsia="Cambria" w:hAnsiTheme="majorHAnsi" w:cstheme="majorBidi"/>
          <w:b/>
          <w:color w:val="1F4E79" w:themeColor="accent1" w:themeShade="80"/>
          <w:sz w:val="32"/>
          <w:szCs w:val="26"/>
        </w:rPr>
        <w:t xml:space="preserve">  </w:t>
      </w:r>
    </w:p>
    <w:p w:rsidR="00A956BD" w:rsidRPr="00A956BD" w:rsidRDefault="00A956BD" w:rsidP="00A956BD">
      <w:pPr>
        <w:keepNext/>
        <w:keepLines/>
        <w:numPr>
          <w:ilvl w:val="2"/>
          <w:numId w:val="0"/>
        </w:numPr>
        <w:spacing w:before="40" w:after="0"/>
        <w:ind w:left="1287" w:right="680" w:hanging="720"/>
        <w:outlineLvl w:val="2"/>
        <w:rPr>
          <w:rFonts w:asciiTheme="majorHAnsi" w:eastAsia="Cambria" w:hAnsiTheme="majorHAnsi" w:cstheme="majorBidi"/>
          <w:color w:val="1F4D78" w:themeColor="accent1" w:themeShade="7F"/>
          <w:sz w:val="28"/>
          <w:szCs w:val="24"/>
        </w:rPr>
      </w:pPr>
      <w:r w:rsidRPr="00A956BD">
        <w:rPr>
          <w:rFonts w:asciiTheme="majorHAnsi" w:eastAsia="Cambria" w:hAnsiTheme="majorHAnsi" w:cstheme="majorBidi"/>
          <w:color w:val="1F4D78" w:themeColor="accent1" w:themeShade="7F"/>
          <w:sz w:val="28"/>
          <w:szCs w:val="24"/>
        </w:rPr>
        <w:t>Quality Assurance &amp; Improvement Services (EASC)</w:t>
      </w:r>
    </w:p>
    <w:p w:rsidR="00A956BD" w:rsidRPr="00A956BD" w:rsidRDefault="00A956BD" w:rsidP="00A956BD">
      <w:pPr>
        <w:widowControl w:val="0"/>
        <w:autoSpaceDE w:val="0"/>
        <w:autoSpaceDN w:val="0"/>
        <w:spacing w:before="1" w:after="0" w:line="264" w:lineRule="exact"/>
        <w:ind w:left="567" w:right="680"/>
        <w:jc w:val="both"/>
        <w:rPr>
          <w:rFonts w:ascii="Calibri" w:eastAsia="Calibri" w:hAnsi="Calibri" w:cs="Calibri"/>
        </w:rPr>
      </w:pPr>
      <w:r w:rsidRPr="00A956BD">
        <w:rPr>
          <w:rFonts w:ascii="Calibri" w:eastAsia="Calibri" w:hAnsi="Calibri" w:cs="Calibri"/>
        </w:rPr>
        <w:t>The CASC has the authority and responsibility to hold WAST to account for delivery of services in respect of performance, service delivery, and quality and safety. This is alongside responsibility for holding Health Boards to account for their role in enabling timely ambulance response to be delivered.</w:t>
      </w:r>
    </w:p>
    <w:p w:rsidR="00A956BD" w:rsidRPr="00A956BD" w:rsidRDefault="00A956BD" w:rsidP="00A956BD">
      <w:pPr>
        <w:widowControl w:val="0"/>
        <w:autoSpaceDE w:val="0"/>
        <w:autoSpaceDN w:val="0"/>
        <w:spacing w:before="1" w:after="0" w:line="264" w:lineRule="exact"/>
        <w:ind w:left="567" w:right="680"/>
        <w:rPr>
          <w:rFonts w:ascii="Calibri" w:eastAsia="Calibri" w:hAnsi="Calibri" w:cs="Calibri"/>
        </w:rPr>
      </w:pPr>
    </w:p>
    <w:p w:rsidR="00A956BD" w:rsidRPr="00A956BD" w:rsidRDefault="00A956BD" w:rsidP="00A956BD">
      <w:pPr>
        <w:widowControl w:val="0"/>
        <w:autoSpaceDE w:val="0"/>
        <w:autoSpaceDN w:val="0"/>
        <w:spacing w:before="1" w:after="0" w:line="264" w:lineRule="exact"/>
        <w:ind w:left="567" w:right="680"/>
        <w:rPr>
          <w:rFonts w:ascii="Calibri" w:eastAsia="Calibri" w:hAnsi="Calibri" w:cs="Calibri"/>
        </w:rPr>
      </w:pPr>
      <w:r w:rsidRPr="00A956BD">
        <w:rPr>
          <w:rFonts w:ascii="Calibri" w:eastAsia="Calibri" w:hAnsi="Calibri" w:cs="Calibri"/>
        </w:rPr>
        <w:t>The NCCU is responsible to EASC through the CASC for the quality assurance and improvement of the EASC commissioned services. We deliver this responsibility through:</w:t>
      </w:r>
    </w:p>
    <w:p w:rsidR="00A956BD" w:rsidRPr="00A956BD" w:rsidRDefault="00A956BD" w:rsidP="00A956BD">
      <w:pPr>
        <w:widowControl w:val="0"/>
        <w:autoSpaceDE w:val="0"/>
        <w:autoSpaceDN w:val="0"/>
        <w:spacing w:before="7" w:after="0" w:line="240" w:lineRule="auto"/>
        <w:ind w:left="567" w:right="680"/>
        <w:rPr>
          <w:rFonts w:ascii="Calibri" w:eastAsia="Calibri" w:hAnsi="Calibri" w:cs="Calibri"/>
          <w:sz w:val="16"/>
        </w:rPr>
      </w:pPr>
    </w:p>
    <w:p w:rsidR="00A956BD" w:rsidRPr="00A956BD" w:rsidRDefault="00A956BD" w:rsidP="00A956BD">
      <w:pPr>
        <w:widowControl w:val="0"/>
        <w:numPr>
          <w:ilvl w:val="0"/>
          <w:numId w:val="11"/>
        </w:numPr>
        <w:autoSpaceDE w:val="0"/>
        <w:autoSpaceDN w:val="0"/>
        <w:spacing w:after="0" w:line="240" w:lineRule="auto"/>
        <w:ind w:left="1134" w:right="680" w:hanging="283"/>
        <w:rPr>
          <w:rFonts w:ascii="Calibri" w:eastAsia="Calibri" w:hAnsi="Calibri" w:cs="Calibri"/>
        </w:rPr>
      </w:pPr>
      <w:r w:rsidRPr="00A956BD">
        <w:rPr>
          <w:rFonts w:ascii="Calibri" w:eastAsia="Calibri" w:hAnsi="Calibri" w:cs="Calibri"/>
        </w:rPr>
        <w:t>Quarterly CASC / EASC Quality and Delivery meetings with Welsh Government</w:t>
      </w:r>
    </w:p>
    <w:p w:rsidR="00A956BD" w:rsidRPr="00A956BD" w:rsidRDefault="00A956BD" w:rsidP="00A956BD">
      <w:pPr>
        <w:widowControl w:val="0"/>
        <w:numPr>
          <w:ilvl w:val="0"/>
          <w:numId w:val="11"/>
        </w:numPr>
        <w:tabs>
          <w:tab w:val="left" w:pos="1134"/>
        </w:tabs>
        <w:autoSpaceDE w:val="0"/>
        <w:autoSpaceDN w:val="0"/>
        <w:spacing w:after="0" w:line="240" w:lineRule="auto"/>
        <w:ind w:left="1134" w:right="680" w:hanging="283"/>
        <w:rPr>
          <w:rFonts w:ascii="Calibri" w:eastAsia="Calibri" w:hAnsi="Calibri" w:cs="Calibri"/>
        </w:rPr>
      </w:pPr>
      <w:r w:rsidRPr="00A956BD">
        <w:rPr>
          <w:rFonts w:ascii="Calibri" w:eastAsia="Calibri" w:hAnsi="Calibri" w:cs="Calibri"/>
        </w:rPr>
        <w:t>Incidents and complaints reporting and</w:t>
      </w:r>
      <w:r w:rsidRPr="00A956BD">
        <w:rPr>
          <w:rFonts w:ascii="Calibri" w:eastAsia="Calibri" w:hAnsi="Calibri" w:cs="Calibri"/>
          <w:spacing w:val="-20"/>
        </w:rPr>
        <w:t xml:space="preserve"> </w:t>
      </w:r>
      <w:r w:rsidRPr="00A956BD">
        <w:rPr>
          <w:rFonts w:ascii="Calibri" w:eastAsia="Calibri" w:hAnsi="Calibri" w:cs="Calibri"/>
        </w:rPr>
        <w:t>reviews</w:t>
      </w:r>
    </w:p>
    <w:p w:rsidR="00A956BD" w:rsidRPr="00A956BD" w:rsidRDefault="00A956BD" w:rsidP="00A956BD">
      <w:pPr>
        <w:widowControl w:val="0"/>
        <w:numPr>
          <w:ilvl w:val="0"/>
          <w:numId w:val="11"/>
        </w:numPr>
        <w:tabs>
          <w:tab w:val="left" w:pos="1134"/>
        </w:tabs>
        <w:autoSpaceDE w:val="0"/>
        <w:autoSpaceDN w:val="0"/>
        <w:spacing w:after="0" w:line="279" w:lineRule="exact"/>
        <w:ind w:left="1134" w:right="680" w:hanging="283"/>
        <w:rPr>
          <w:rFonts w:ascii="Calibri" w:eastAsia="Calibri" w:hAnsi="Calibri" w:cs="Calibri"/>
        </w:rPr>
      </w:pPr>
      <w:r w:rsidRPr="00A956BD">
        <w:rPr>
          <w:rFonts w:ascii="Calibri" w:eastAsia="Calibri" w:hAnsi="Calibri" w:cs="Calibri"/>
        </w:rPr>
        <w:t>Daily performance</w:t>
      </w:r>
      <w:r w:rsidRPr="00A956BD">
        <w:rPr>
          <w:rFonts w:ascii="Calibri" w:eastAsia="Calibri" w:hAnsi="Calibri" w:cs="Calibri"/>
          <w:spacing w:val="-9"/>
        </w:rPr>
        <w:t xml:space="preserve"> </w:t>
      </w:r>
      <w:r w:rsidRPr="00A956BD">
        <w:rPr>
          <w:rFonts w:ascii="Calibri" w:eastAsia="Calibri" w:hAnsi="Calibri" w:cs="Calibri"/>
        </w:rPr>
        <w:t>reviews</w:t>
      </w:r>
    </w:p>
    <w:p w:rsidR="00A956BD" w:rsidRPr="00A956BD" w:rsidRDefault="00A956BD" w:rsidP="00A956BD">
      <w:pPr>
        <w:widowControl w:val="0"/>
        <w:numPr>
          <w:ilvl w:val="0"/>
          <w:numId w:val="11"/>
        </w:numPr>
        <w:tabs>
          <w:tab w:val="left" w:pos="1134"/>
        </w:tabs>
        <w:autoSpaceDE w:val="0"/>
        <w:autoSpaceDN w:val="0"/>
        <w:spacing w:after="0" w:line="279" w:lineRule="exact"/>
        <w:ind w:left="1134" w:right="680" w:hanging="283"/>
        <w:rPr>
          <w:rFonts w:ascii="Calibri" w:eastAsia="Calibri" w:hAnsi="Calibri" w:cs="Calibri"/>
        </w:rPr>
      </w:pPr>
      <w:r w:rsidRPr="00A956BD">
        <w:rPr>
          <w:rFonts w:ascii="Calibri" w:eastAsia="Calibri" w:hAnsi="Calibri" w:cs="Calibri"/>
        </w:rPr>
        <w:t>Clinical risk assurance</w:t>
      </w:r>
      <w:r w:rsidRPr="00A956BD">
        <w:rPr>
          <w:rFonts w:ascii="Calibri" w:eastAsia="Calibri" w:hAnsi="Calibri" w:cs="Calibri"/>
          <w:spacing w:val="-12"/>
        </w:rPr>
        <w:t xml:space="preserve"> </w:t>
      </w:r>
      <w:r w:rsidRPr="00A956BD">
        <w:rPr>
          <w:rFonts w:ascii="Calibri" w:eastAsia="Calibri" w:hAnsi="Calibri" w:cs="Calibri"/>
        </w:rPr>
        <w:t>reviews</w:t>
      </w:r>
    </w:p>
    <w:p w:rsidR="00A956BD" w:rsidRPr="00A956BD" w:rsidRDefault="00A956BD" w:rsidP="00A956BD">
      <w:pPr>
        <w:widowControl w:val="0"/>
        <w:numPr>
          <w:ilvl w:val="0"/>
          <w:numId w:val="11"/>
        </w:numPr>
        <w:tabs>
          <w:tab w:val="left" w:pos="1134"/>
        </w:tabs>
        <w:autoSpaceDE w:val="0"/>
        <w:autoSpaceDN w:val="0"/>
        <w:spacing w:after="0" w:line="240" w:lineRule="auto"/>
        <w:ind w:left="1134" w:right="680" w:hanging="283"/>
        <w:rPr>
          <w:rFonts w:ascii="Calibri" w:eastAsia="Calibri" w:hAnsi="Calibri" w:cs="Calibri"/>
        </w:rPr>
      </w:pPr>
      <w:r w:rsidRPr="00A956BD">
        <w:rPr>
          <w:rFonts w:ascii="Calibri" w:eastAsia="Calibri" w:hAnsi="Calibri" w:cs="Calibri"/>
        </w:rPr>
        <w:t>Enactment of the recommendations from PACEC Review and expectations of The Minister for Health &amp; Social Services</w:t>
      </w:r>
    </w:p>
    <w:p w:rsidR="00A956BD" w:rsidRPr="00A956BD" w:rsidRDefault="00A956BD" w:rsidP="00A956BD">
      <w:pPr>
        <w:widowControl w:val="0"/>
        <w:numPr>
          <w:ilvl w:val="0"/>
          <w:numId w:val="11"/>
        </w:numPr>
        <w:tabs>
          <w:tab w:val="left" w:pos="1134"/>
        </w:tabs>
        <w:autoSpaceDE w:val="0"/>
        <w:autoSpaceDN w:val="0"/>
        <w:spacing w:after="0" w:line="240" w:lineRule="auto"/>
        <w:ind w:left="1134" w:right="680" w:hanging="283"/>
        <w:rPr>
          <w:rFonts w:ascii="Calibri" w:eastAsia="Calibri" w:hAnsi="Calibri" w:cs="Calibri"/>
        </w:rPr>
      </w:pPr>
      <w:r w:rsidRPr="00A956BD">
        <w:rPr>
          <w:rFonts w:ascii="Calibri" w:eastAsia="Calibri" w:hAnsi="Calibri" w:cs="Calibri"/>
        </w:rPr>
        <w:t>Published reporting of accurate Ambulance Quality Indicators</w:t>
      </w:r>
      <w:r w:rsidRPr="00A956BD">
        <w:rPr>
          <w:rFonts w:ascii="Calibri" w:eastAsia="Calibri" w:hAnsi="Calibri" w:cs="Calibri"/>
          <w:spacing w:val="-28"/>
        </w:rPr>
        <w:t xml:space="preserve"> </w:t>
      </w:r>
      <w:r w:rsidRPr="00A956BD">
        <w:rPr>
          <w:rFonts w:ascii="Calibri" w:eastAsia="Calibri" w:hAnsi="Calibri" w:cs="Calibri"/>
        </w:rPr>
        <w:t>(AQI) including enhanced user friendly reporting of</w:t>
      </w:r>
      <w:r w:rsidRPr="00A956BD">
        <w:rPr>
          <w:rFonts w:ascii="Calibri" w:eastAsia="Calibri" w:hAnsi="Calibri" w:cs="Calibri"/>
          <w:spacing w:val="-14"/>
        </w:rPr>
        <w:t xml:space="preserve"> </w:t>
      </w:r>
      <w:r w:rsidRPr="00A956BD">
        <w:rPr>
          <w:rFonts w:ascii="Calibri" w:eastAsia="Calibri" w:hAnsi="Calibri" w:cs="Calibri"/>
        </w:rPr>
        <w:t>AQIs</w:t>
      </w:r>
    </w:p>
    <w:p w:rsidR="00A956BD" w:rsidRPr="00A956BD" w:rsidRDefault="00A956BD" w:rsidP="00A956BD">
      <w:pPr>
        <w:widowControl w:val="0"/>
        <w:numPr>
          <w:ilvl w:val="0"/>
          <w:numId w:val="11"/>
        </w:numPr>
        <w:tabs>
          <w:tab w:val="left" w:pos="1134"/>
        </w:tabs>
        <w:autoSpaceDE w:val="0"/>
        <w:autoSpaceDN w:val="0"/>
        <w:spacing w:after="0" w:line="240" w:lineRule="auto"/>
        <w:ind w:left="1134" w:right="680" w:hanging="283"/>
        <w:rPr>
          <w:rFonts w:ascii="Calibri" w:eastAsia="Calibri" w:hAnsi="Calibri" w:cs="Calibri"/>
        </w:rPr>
      </w:pPr>
      <w:bookmarkStart w:id="7" w:name="Monitoring_&amp;_evaluation"/>
      <w:bookmarkStart w:id="8" w:name="Ambulance_performance"/>
      <w:bookmarkEnd w:id="7"/>
      <w:bookmarkEnd w:id="8"/>
      <w:r w:rsidRPr="00A956BD">
        <w:rPr>
          <w:rFonts w:ascii="Calibri" w:eastAsia="Calibri" w:hAnsi="Calibri" w:cs="Calibri"/>
        </w:rPr>
        <w:t>Development of a comprehensive suite of performance and outcome measures across clinical,</w:t>
      </w:r>
      <w:r w:rsidRPr="00A956BD">
        <w:rPr>
          <w:rFonts w:ascii="Calibri" w:eastAsia="Calibri" w:hAnsi="Calibri" w:cs="Calibri"/>
          <w:spacing w:val="-4"/>
        </w:rPr>
        <w:t xml:space="preserve"> </w:t>
      </w:r>
      <w:r w:rsidRPr="00A956BD">
        <w:rPr>
          <w:rFonts w:ascii="Calibri" w:eastAsia="Calibri" w:hAnsi="Calibri" w:cs="Calibri"/>
        </w:rPr>
        <w:t>patient</w:t>
      </w:r>
      <w:r w:rsidRPr="00A956BD">
        <w:rPr>
          <w:rFonts w:ascii="Calibri" w:eastAsia="Calibri" w:hAnsi="Calibri" w:cs="Calibri"/>
          <w:spacing w:val="-4"/>
        </w:rPr>
        <w:t xml:space="preserve"> </w:t>
      </w:r>
      <w:r w:rsidRPr="00A956BD">
        <w:rPr>
          <w:rFonts w:ascii="Calibri" w:eastAsia="Calibri" w:hAnsi="Calibri" w:cs="Calibri"/>
        </w:rPr>
        <w:t>experience</w:t>
      </w:r>
      <w:r w:rsidRPr="00A956BD">
        <w:rPr>
          <w:rFonts w:ascii="Calibri" w:eastAsia="Calibri" w:hAnsi="Calibri" w:cs="Calibri"/>
          <w:spacing w:val="-3"/>
        </w:rPr>
        <w:t xml:space="preserve"> </w:t>
      </w:r>
      <w:r w:rsidRPr="00A956BD">
        <w:rPr>
          <w:rFonts w:ascii="Calibri" w:eastAsia="Calibri" w:hAnsi="Calibri" w:cs="Calibri"/>
        </w:rPr>
        <w:t>and</w:t>
      </w:r>
      <w:r w:rsidRPr="00A956BD">
        <w:rPr>
          <w:rFonts w:ascii="Calibri" w:eastAsia="Calibri" w:hAnsi="Calibri" w:cs="Calibri"/>
          <w:spacing w:val="-7"/>
        </w:rPr>
        <w:t xml:space="preserve"> </w:t>
      </w:r>
      <w:r w:rsidRPr="00A956BD">
        <w:rPr>
          <w:rFonts w:ascii="Calibri" w:eastAsia="Calibri" w:hAnsi="Calibri" w:cs="Calibri"/>
        </w:rPr>
        <w:t>value</w:t>
      </w:r>
      <w:r w:rsidRPr="00A956BD">
        <w:rPr>
          <w:rFonts w:ascii="Calibri" w:eastAsia="Calibri" w:hAnsi="Calibri" w:cs="Calibri"/>
          <w:spacing w:val="-3"/>
        </w:rPr>
        <w:t xml:space="preserve"> </w:t>
      </w:r>
      <w:r w:rsidRPr="00A956BD">
        <w:rPr>
          <w:rFonts w:ascii="Calibri" w:eastAsia="Calibri" w:hAnsi="Calibri" w:cs="Calibri"/>
        </w:rPr>
        <w:t>for</w:t>
      </w:r>
      <w:r w:rsidRPr="00A956BD">
        <w:rPr>
          <w:rFonts w:ascii="Calibri" w:eastAsia="Calibri" w:hAnsi="Calibri" w:cs="Calibri"/>
          <w:spacing w:val="-6"/>
        </w:rPr>
        <w:t xml:space="preserve"> </w:t>
      </w:r>
      <w:r w:rsidRPr="00A956BD">
        <w:rPr>
          <w:rFonts w:ascii="Calibri" w:eastAsia="Calibri" w:hAnsi="Calibri" w:cs="Calibri"/>
        </w:rPr>
        <w:t>money</w:t>
      </w:r>
      <w:r w:rsidRPr="00A956BD">
        <w:rPr>
          <w:rFonts w:ascii="Calibri" w:eastAsia="Calibri" w:hAnsi="Calibri" w:cs="Calibri"/>
          <w:spacing w:val="-5"/>
        </w:rPr>
        <w:t xml:space="preserve"> </w:t>
      </w:r>
      <w:r w:rsidRPr="00A956BD">
        <w:rPr>
          <w:rFonts w:ascii="Calibri" w:eastAsia="Calibri" w:hAnsi="Calibri" w:cs="Calibri"/>
        </w:rPr>
        <w:t>which</w:t>
      </w:r>
      <w:r w:rsidRPr="00A956BD">
        <w:rPr>
          <w:rFonts w:ascii="Calibri" w:eastAsia="Calibri" w:hAnsi="Calibri" w:cs="Calibri"/>
          <w:spacing w:val="-5"/>
        </w:rPr>
        <w:t xml:space="preserve"> </w:t>
      </w:r>
      <w:r w:rsidRPr="00A956BD">
        <w:rPr>
          <w:rFonts w:ascii="Calibri" w:eastAsia="Calibri" w:hAnsi="Calibri" w:cs="Calibri"/>
        </w:rPr>
        <w:t>are</w:t>
      </w:r>
      <w:r w:rsidRPr="00A956BD">
        <w:rPr>
          <w:rFonts w:ascii="Calibri" w:eastAsia="Calibri" w:hAnsi="Calibri" w:cs="Calibri"/>
          <w:spacing w:val="-3"/>
        </w:rPr>
        <w:t xml:space="preserve"> </w:t>
      </w:r>
      <w:r w:rsidRPr="00A956BD">
        <w:rPr>
          <w:rFonts w:ascii="Calibri" w:eastAsia="Calibri" w:hAnsi="Calibri" w:cs="Calibri"/>
        </w:rPr>
        <w:t>regularly</w:t>
      </w:r>
      <w:r w:rsidRPr="00A956BD">
        <w:rPr>
          <w:rFonts w:ascii="Calibri" w:eastAsia="Calibri" w:hAnsi="Calibri" w:cs="Calibri"/>
          <w:spacing w:val="-3"/>
        </w:rPr>
        <w:t xml:space="preserve"> </w:t>
      </w:r>
      <w:r w:rsidRPr="00A956BD">
        <w:rPr>
          <w:rFonts w:ascii="Calibri" w:eastAsia="Calibri" w:hAnsi="Calibri" w:cs="Calibri"/>
        </w:rPr>
        <w:t>reported</w:t>
      </w:r>
    </w:p>
    <w:p w:rsidR="00A956BD" w:rsidRPr="00A956BD" w:rsidRDefault="00A956BD" w:rsidP="00A956BD">
      <w:pPr>
        <w:widowControl w:val="0"/>
        <w:numPr>
          <w:ilvl w:val="0"/>
          <w:numId w:val="11"/>
        </w:numPr>
        <w:tabs>
          <w:tab w:val="left" w:pos="1134"/>
        </w:tabs>
        <w:autoSpaceDE w:val="0"/>
        <w:autoSpaceDN w:val="0"/>
        <w:spacing w:after="0" w:line="240" w:lineRule="auto"/>
        <w:ind w:left="1134" w:right="680" w:hanging="283"/>
        <w:rPr>
          <w:rFonts w:ascii="Calibri" w:eastAsia="Calibri" w:hAnsi="Calibri" w:cs="Calibri"/>
        </w:rPr>
      </w:pPr>
      <w:r w:rsidRPr="00A956BD">
        <w:rPr>
          <w:rFonts w:ascii="Calibri" w:eastAsia="Calibri" w:hAnsi="Calibri" w:cs="Calibri"/>
        </w:rPr>
        <w:t>Development, operation and enhancement of the electronic Benchmarking</w:t>
      </w:r>
      <w:r w:rsidRPr="00A956BD">
        <w:rPr>
          <w:rFonts w:ascii="Calibri" w:eastAsia="Calibri" w:hAnsi="Calibri" w:cs="Calibri"/>
          <w:spacing w:val="16"/>
        </w:rPr>
        <w:t xml:space="preserve"> </w:t>
      </w:r>
      <w:r w:rsidRPr="00A956BD">
        <w:rPr>
          <w:rFonts w:ascii="Calibri" w:eastAsia="Calibri" w:hAnsi="Calibri" w:cs="Calibri"/>
        </w:rPr>
        <w:t>Toolkit.</w:t>
      </w:r>
    </w:p>
    <w:p w:rsidR="00A956BD" w:rsidRPr="00A956BD" w:rsidRDefault="00A956BD" w:rsidP="00A956BD">
      <w:pPr>
        <w:widowControl w:val="0"/>
        <w:autoSpaceDE w:val="0"/>
        <w:autoSpaceDN w:val="0"/>
        <w:spacing w:before="9" w:after="0" w:line="240" w:lineRule="auto"/>
        <w:ind w:left="567" w:right="680"/>
        <w:rPr>
          <w:rFonts w:ascii="Calibri" w:eastAsia="Calibri" w:hAnsi="Calibri" w:cs="Calibri"/>
        </w:rPr>
      </w:pPr>
    </w:p>
    <w:p w:rsidR="00A956BD" w:rsidRPr="00A956BD" w:rsidRDefault="00A956BD" w:rsidP="00A956BD">
      <w:pPr>
        <w:keepNext/>
        <w:keepLines/>
        <w:numPr>
          <w:ilvl w:val="2"/>
          <w:numId w:val="0"/>
        </w:numPr>
        <w:spacing w:before="40" w:after="0"/>
        <w:ind w:left="1287" w:right="680" w:hanging="720"/>
        <w:outlineLvl w:val="2"/>
        <w:rPr>
          <w:rFonts w:asciiTheme="majorHAnsi" w:eastAsiaTheme="majorEastAsia" w:hAnsiTheme="majorHAnsi" w:cstheme="majorBidi"/>
          <w:color w:val="1F4D78" w:themeColor="accent1" w:themeShade="7F"/>
          <w:sz w:val="28"/>
          <w:szCs w:val="24"/>
        </w:rPr>
      </w:pPr>
      <w:bookmarkStart w:id="9" w:name="Amber_Review_Implementation_Programme_(A"/>
      <w:bookmarkEnd w:id="9"/>
      <w:r w:rsidRPr="00A956BD">
        <w:rPr>
          <w:rFonts w:asciiTheme="majorHAnsi" w:eastAsiaTheme="majorEastAsia" w:hAnsiTheme="majorHAnsi" w:cstheme="majorBidi"/>
          <w:color w:val="1F4D78" w:themeColor="accent1" w:themeShade="7F"/>
          <w:sz w:val="28"/>
          <w:szCs w:val="24"/>
        </w:rPr>
        <w:t>Enhanced Assurance &amp; Evaluation</w:t>
      </w:r>
    </w:p>
    <w:p w:rsidR="00A956BD" w:rsidRPr="00A956BD" w:rsidRDefault="00A956BD" w:rsidP="00A956BD">
      <w:pPr>
        <w:widowControl w:val="0"/>
        <w:numPr>
          <w:ilvl w:val="3"/>
          <w:numId w:val="0"/>
        </w:numPr>
        <w:autoSpaceDE w:val="0"/>
        <w:autoSpaceDN w:val="0"/>
        <w:spacing w:after="0" w:line="240" w:lineRule="auto"/>
        <w:ind w:left="1429" w:right="680"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Enhanced role of the CASC</w:t>
      </w:r>
    </w:p>
    <w:p w:rsidR="00A956BD" w:rsidRPr="00A956BD" w:rsidRDefault="00A956BD" w:rsidP="00A956BD">
      <w:pPr>
        <w:ind w:left="567" w:right="680"/>
        <w:jc w:val="both"/>
      </w:pPr>
      <w:r w:rsidRPr="00A956BD">
        <w:t xml:space="preserve">In line with the recommendations featured in the McClelland Strategic Review of Emergency Ambulance Services and in addition to the Model Standing Orders, Welsh Government requested the CASC and EASC to take on an enhanced role in performance management of WAST citing: </w:t>
      </w:r>
    </w:p>
    <w:p w:rsidR="00A956BD" w:rsidRPr="00A956BD" w:rsidRDefault="00A956BD" w:rsidP="00A956BD">
      <w:pPr>
        <w:ind w:left="567" w:right="680"/>
      </w:pPr>
      <w:r w:rsidRPr="00A956BD">
        <w:t>“There is a need for simple governance and accountability for planning and delivery of emergency ambulance services. Ministerial expectation is clear; he expects greater ownership of the emergency medical services (EMS) commissioning process through the EASC mechanism with the Chief Ambulance Services Commissioner  (CASC) empowered to hold both Health Boards and WAST to account for delivery of agreed commissioning intentions and agreed actions.”</w:t>
      </w:r>
    </w:p>
    <w:p w:rsidR="00A956BD" w:rsidRPr="00A956BD" w:rsidRDefault="00A956BD" w:rsidP="00A956BD">
      <w:pPr>
        <w:ind w:left="567" w:right="680"/>
        <w:jc w:val="both"/>
      </w:pPr>
      <w:r w:rsidRPr="00A956BD">
        <w:t>In order to develop the enhanced assurance and performance management arrangements, the NCCU, on behalf of EASC, will work collaboratively with WAST to develop the documents required to support the Model Standing Orders and a set of Key Performance Indicators which will be reported into EASC Management Group in order to provide assurance to EASC Joint Committee on the performance of WAST as an organisation. It is expected that as part of an integrated approach these measures will be aligned to the strategic commissioning intentions and designed to cover quality, safety, risk, finance and value.</w:t>
      </w:r>
    </w:p>
    <w:p w:rsidR="00A956BD" w:rsidRPr="00A956BD" w:rsidRDefault="00A956BD" w:rsidP="00A956BD">
      <w:pPr>
        <w:ind w:left="567" w:right="680"/>
        <w:jc w:val="both"/>
      </w:pPr>
      <w:r w:rsidRPr="00A956BD">
        <w:t xml:space="preserve">To enable this the NCCU will develop the performance management framework to support the CASC; this will include: </w:t>
      </w:r>
    </w:p>
    <w:p w:rsidR="00A956BD" w:rsidRPr="00A956BD" w:rsidRDefault="00A956BD" w:rsidP="00A956BD">
      <w:pPr>
        <w:widowControl w:val="0"/>
        <w:numPr>
          <w:ilvl w:val="0"/>
          <w:numId w:val="12"/>
        </w:numP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 xml:space="preserve">Developing a formal communication mechanism between the commissioner and WAST. </w:t>
      </w:r>
    </w:p>
    <w:p w:rsidR="00A956BD" w:rsidRPr="00A956BD" w:rsidRDefault="00A956BD" w:rsidP="00A956BD">
      <w:pPr>
        <w:widowControl w:val="0"/>
        <w:numPr>
          <w:ilvl w:val="0"/>
          <w:numId w:val="12"/>
        </w:numP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 xml:space="preserve">Enhanced commissioning and performance focused reporting to EASC across all EASC Commissioned Services. </w:t>
      </w:r>
    </w:p>
    <w:p w:rsidR="00A956BD" w:rsidRPr="00A956BD" w:rsidRDefault="00A956BD" w:rsidP="00A956BD">
      <w:pPr>
        <w:widowControl w:val="0"/>
        <w:numPr>
          <w:ilvl w:val="0"/>
          <w:numId w:val="12"/>
        </w:numPr>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Full utilisation of the EASC Governance structures to make effective decisions</w:t>
      </w:r>
    </w:p>
    <w:p w:rsidR="00A956BD" w:rsidRPr="00A956BD" w:rsidRDefault="00A956BD" w:rsidP="00A956BD">
      <w:pPr>
        <w:rPr>
          <w:rFonts w:ascii="Calibri" w:eastAsia="Calibri" w:hAnsi="Calibri" w:cs="Calibri"/>
        </w:rPr>
      </w:pPr>
      <w:r w:rsidRPr="00A956BD">
        <w:br w:type="page"/>
      </w:r>
    </w:p>
    <w:p w:rsidR="00A956BD" w:rsidRPr="00A956BD" w:rsidRDefault="00A956BD" w:rsidP="00A956BD">
      <w:pPr>
        <w:widowControl w:val="0"/>
        <w:autoSpaceDE w:val="0"/>
        <w:autoSpaceDN w:val="0"/>
        <w:spacing w:after="0" w:line="240" w:lineRule="auto"/>
        <w:ind w:left="1134" w:right="680"/>
        <w:jc w:val="both"/>
        <w:rPr>
          <w:rFonts w:ascii="Calibri" w:eastAsia="Calibri" w:hAnsi="Calibri" w:cs="Calibri"/>
        </w:rPr>
      </w:pPr>
    </w:p>
    <w:p w:rsidR="00A956BD" w:rsidRPr="00A956BD" w:rsidRDefault="00A956BD" w:rsidP="00A956BD">
      <w:pPr>
        <w:widowControl w:val="0"/>
        <w:numPr>
          <w:ilvl w:val="3"/>
          <w:numId w:val="0"/>
        </w:numPr>
        <w:autoSpaceDE w:val="0"/>
        <w:autoSpaceDN w:val="0"/>
        <w:spacing w:after="0" w:line="240" w:lineRule="auto"/>
        <w:ind w:left="1429" w:right="680"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Enhanced role of EASC</w:t>
      </w:r>
    </w:p>
    <w:p w:rsidR="00A956BD" w:rsidRPr="00A956BD" w:rsidRDefault="00A956BD" w:rsidP="00A956BD">
      <w:pPr>
        <w:ind w:left="567"/>
      </w:pPr>
      <w:r w:rsidRPr="00A956BD">
        <w:t xml:space="preserve">The key deliverables for enhancing the role of EASC, through chairs objectives, can be found in </w:t>
      </w:r>
      <w:r w:rsidRPr="00A956BD">
        <w:rPr>
          <w:b/>
        </w:rPr>
        <w:t>Appendix 21</w:t>
      </w:r>
      <w:r w:rsidRPr="00A956BD">
        <w:t>.</w:t>
      </w:r>
    </w:p>
    <w:p w:rsidR="00A956BD" w:rsidRPr="00A956BD" w:rsidRDefault="00A956BD" w:rsidP="00A956BD">
      <w:pPr>
        <w:widowControl w:val="0"/>
        <w:numPr>
          <w:ilvl w:val="3"/>
          <w:numId w:val="0"/>
        </w:numPr>
        <w:autoSpaceDE w:val="0"/>
        <w:autoSpaceDN w:val="0"/>
        <w:spacing w:after="0" w:line="240" w:lineRule="auto"/>
        <w:ind w:left="1429" w:right="680"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Enhanced EASC Governance Arrangements</w:t>
      </w:r>
    </w:p>
    <w:p w:rsidR="00A956BD" w:rsidRPr="00A956BD" w:rsidRDefault="00A956BD" w:rsidP="00A956BD">
      <w:pPr>
        <w:ind w:left="567" w:right="680"/>
        <w:jc w:val="both"/>
      </w:pPr>
      <w:r w:rsidRPr="00A956BD">
        <w:t>In September 2019, Welsh Government issued an updated version of Model Standing Orders for EASC. As part of Joint Committee’s governance and accountability framework the Standing Orders require a set of Standing Financial Instructions to be in place alongside other documents such as a Scheme of Delegation, Values and Standards of Behaviour Framework, Risk Register and Key Policy Documents. These documents require development in order to enhance the governance and accountability framework.. It is expected that as part of an integrated approach these measures will be aligned to the strategic commissioning intentions and designed to cover quality, safety, risk, finance and value.</w:t>
      </w:r>
    </w:p>
    <w:p w:rsidR="00A956BD" w:rsidRPr="00A956BD" w:rsidRDefault="00A956BD" w:rsidP="00A956BD">
      <w:pPr>
        <w:widowControl w:val="0"/>
        <w:numPr>
          <w:ilvl w:val="3"/>
          <w:numId w:val="0"/>
        </w:numPr>
        <w:autoSpaceDE w:val="0"/>
        <w:autoSpaceDN w:val="0"/>
        <w:spacing w:after="0" w:line="240" w:lineRule="auto"/>
        <w:ind w:left="1429" w:right="680"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EMS Ambulance Quality Indicators (AQIs)</w:t>
      </w:r>
    </w:p>
    <w:p w:rsidR="00A956BD" w:rsidRPr="00A956BD" w:rsidRDefault="00A956BD" w:rsidP="00A956BD">
      <w:pPr>
        <w:ind w:left="567"/>
      </w:pPr>
      <w:r w:rsidRPr="00A956BD">
        <w:t xml:space="preserve">EASC through the EMS commissioning framework requires that WAST maintain a repository of data to allow the production of AQIs. EASC will continue to be an official publisher of Ambulance Quality Indicators. EASC will work to report the EMS AQIs monthly via StatsWales. </w:t>
      </w:r>
    </w:p>
    <w:p w:rsidR="00A956BD" w:rsidRPr="00A956BD" w:rsidRDefault="00A956BD" w:rsidP="00A956BD">
      <w:pPr>
        <w:widowControl w:val="0"/>
        <w:numPr>
          <w:ilvl w:val="3"/>
          <w:numId w:val="0"/>
        </w:numPr>
        <w:autoSpaceDE w:val="0"/>
        <w:autoSpaceDN w:val="0"/>
        <w:spacing w:after="0" w:line="240" w:lineRule="auto"/>
        <w:ind w:left="1429" w:right="680"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 xml:space="preserve">Expanding the role of the Clinical Director NPUC </w:t>
      </w:r>
    </w:p>
    <w:p w:rsidR="00A956BD" w:rsidRPr="00A956BD" w:rsidRDefault="00A956BD" w:rsidP="00A956BD">
      <w:pPr>
        <w:ind w:left="567" w:right="680"/>
        <w:jc w:val="both"/>
        <w:rPr>
          <w:highlight w:val="yellow"/>
        </w:rPr>
      </w:pPr>
      <w:r w:rsidRPr="00A956BD">
        <w:t xml:space="preserve">2020/21 onwards will see the opportunity to close align the work of EASC through the clinical director for NPUC working closer with EASC. This opportunity enables stronger clinical leadership and oversight for the Joint Committee as well as supporting delivery of the EASC Chair’s actions from the Minister around closer working and alignment between EASC and the National Programme for Unscheduled Care. </w:t>
      </w:r>
    </w:p>
    <w:p w:rsidR="00A956BD" w:rsidRPr="00A956BD" w:rsidRDefault="00A956BD" w:rsidP="00A956BD">
      <w:pPr>
        <w:widowControl w:val="0"/>
        <w:autoSpaceDE w:val="0"/>
        <w:autoSpaceDN w:val="0"/>
        <w:spacing w:before="56" w:after="0" w:line="240" w:lineRule="auto"/>
        <w:ind w:left="567" w:right="680"/>
        <w:jc w:val="both"/>
        <w:rPr>
          <w:rFonts w:ascii="Calibri" w:eastAsia="Calibri" w:hAnsi="Calibri" w:cs="Calibri"/>
          <w:highlight w:val="yellow"/>
        </w:rPr>
      </w:pPr>
    </w:p>
    <w:p w:rsidR="00A956BD" w:rsidRPr="00A956BD" w:rsidRDefault="00A956BD" w:rsidP="00A956BD">
      <w:pPr>
        <w:widowControl w:val="0"/>
        <w:numPr>
          <w:ilvl w:val="3"/>
          <w:numId w:val="0"/>
        </w:numPr>
        <w:autoSpaceDE w:val="0"/>
        <w:autoSpaceDN w:val="0"/>
        <w:spacing w:after="0" w:line="240" w:lineRule="auto"/>
        <w:ind w:left="1429" w:right="680"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 xml:space="preserve">Enhanced Research capability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During 2020/21 we will continue to work with the C3 Faculty to provide support to EASC in terms of the Winter Planning Evaluation 2019/20 and to inform the future direction of EASC and support the evaluation of ambulance and Unscheduled Care Services service change initiatives in order to share and spread nationally an understanding of what works and doesn’t work.</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 xml:space="preserve">We will look to develop the concept of the embedded researcher and develop a model that enables research staff to work alongside programme staff. This will deliver the benefits of fully embedded research and evaluation across EASC and EDQDF work programmes. The roles will also support NPUC in the evaluation of specific targeted initiatives.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numPr>
          <w:ilvl w:val="3"/>
          <w:numId w:val="0"/>
        </w:numPr>
        <w:autoSpaceDE w:val="0"/>
        <w:autoSpaceDN w:val="0"/>
        <w:spacing w:after="0" w:line="240" w:lineRule="auto"/>
        <w:ind w:left="1429" w:right="680"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 xml:space="preserve">Maximising ambulance Productivity availability programme  </w:t>
      </w:r>
    </w:p>
    <w:p w:rsidR="00A956BD" w:rsidRPr="00A956BD" w:rsidRDefault="00A956BD" w:rsidP="00A956BD">
      <w:pPr>
        <w:widowControl w:val="0"/>
        <w:autoSpaceDE w:val="0"/>
        <w:autoSpaceDN w:val="0"/>
        <w:spacing w:after="0" w:line="240" w:lineRule="auto"/>
        <w:ind w:left="567" w:right="680"/>
        <w:rPr>
          <w:rFonts w:ascii="Calibri" w:eastAsia="Calibri" w:hAnsi="Calibri" w:cs="Calibri"/>
        </w:rPr>
      </w:pPr>
      <w:r w:rsidRPr="00A956BD">
        <w:rPr>
          <w:rFonts w:ascii="Calibri" w:eastAsia="Calibri" w:hAnsi="Calibri" w:cs="Calibri"/>
        </w:rPr>
        <w:t xml:space="preserve">We will scope and implement a programme of work to address ambulance performance and to maximise ambulance availability across Wales. This work will contain a number of elements of existing work to include: </w:t>
      </w:r>
    </w:p>
    <w:p w:rsidR="00A956BD" w:rsidRPr="00A956BD" w:rsidRDefault="00A956BD" w:rsidP="00A956BD">
      <w:pPr>
        <w:widowControl w:val="0"/>
        <w:autoSpaceDE w:val="0"/>
        <w:autoSpaceDN w:val="0"/>
        <w:spacing w:after="0" w:line="240" w:lineRule="auto"/>
        <w:ind w:left="567" w:right="680"/>
        <w:rPr>
          <w:rFonts w:ascii="Calibri" w:eastAsia="Calibri" w:hAnsi="Calibri" w:cs="Calibri"/>
        </w:rPr>
      </w:pPr>
      <w:r w:rsidRPr="00A956BD">
        <w:rPr>
          <w:rFonts w:ascii="Calibri" w:eastAsia="Calibri" w:hAnsi="Calibri" w:cs="Calibri"/>
        </w:rPr>
        <w:t xml:space="preserve"> </w:t>
      </w:r>
    </w:p>
    <w:p w:rsidR="00A956BD" w:rsidRPr="00A956BD" w:rsidRDefault="00A956BD" w:rsidP="00A956BD">
      <w:pPr>
        <w:widowControl w:val="0"/>
        <w:autoSpaceDE w:val="0"/>
        <w:autoSpaceDN w:val="0"/>
        <w:spacing w:after="0" w:line="240" w:lineRule="auto"/>
        <w:ind w:left="567" w:right="680"/>
        <w:jc w:val="both"/>
        <w:outlineLvl w:val="4"/>
        <w:rPr>
          <w:rFonts w:ascii="Calibri" w:eastAsia="Calibri" w:hAnsi="Calibri" w:cs="Calibri"/>
          <w:color w:val="44546A" w:themeColor="text2"/>
        </w:rPr>
      </w:pPr>
      <w:r w:rsidRPr="00A956BD">
        <w:rPr>
          <w:rFonts w:ascii="Calibri" w:eastAsia="Calibri" w:hAnsi="Calibri" w:cs="Calibri"/>
          <w:color w:val="44546A" w:themeColor="text2"/>
        </w:rPr>
        <w:t>Ambulance Productivity and Availability</w:t>
      </w:r>
    </w:p>
    <w:p w:rsidR="00A956BD" w:rsidRPr="00A956BD" w:rsidRDefault="00A956BD" w:rsidP="00A956BD">
      <w:pPr>
        <w:ind w:left="567" w:right="680"/>
        <w:jc w:val="both"/>
      </w:pPr>
      <w:r w:rsidRPr="00A956BD">
        <w:t xml:space="preserve">We will deliver a programme of work to understand the current levels of productivity delivered by emergency ambulance services in Wales, and describe the service model required to deliver a more equitable and efficient level of productivity to support the whole unscheduled care system. </w:t>
      </w:r>
    </w:p>
    <w:p w:rsidR="00A956BD" w:rsidRPr="00A956BD" w:rsidRDefault="00A956BD" w:rsidP="00A956BD">
      <w:pPr>
        <w:spacing w:after="0"/>
        <w:ind w:left="567" w:right="680"/>
        <w:jc w:val="both"/>
      </w:pPr>
      <w:r w:rsidRPr="00A956BD">
        <w:t>Availability of ambulances is the most important determinant of an effective and efficient ambulance service. We will deliver an improvement plan for increasing ambulance availability this work will focus on 4 major themes:</w:t>
      </w:r>
    </w:p>
    <w:p w:rsidR="00A956BD" w:rsidRPr="00A956BD" w:rsidRDefault="00A956BD" w:rsidP="00A956BD">
      <w:pPr>
        <w:widowControl w:val="0"/>
        <w:numPr>
          <w:ilvl w:val="1"/>
          <w:numId w:val="15"/>
        </w:numPr>
        <w:autoSpaceDE w:val="0"/>
        <w:autoSpaceDN w:val="0"/>
        <w:spacing w:after="100" w:afterAutospacing="1" w:line="240" w:lineRule="auto"/>
        <w:ind w:left="1418" w:right="680" w:hanging="567"/>
        <w:rPr>
          <w:rFonts w:ascii="Calibri" w:eastAsia="Calibri" w:hAnsi="Calibri" w:cs="Calibri"/>
        </w:rPr>
      </w:pPr>
      <w:r w:rsidRPr="00A956BD">
        <w:rPr>
          <w:rFonts w:ascii="Calibri" w:eastAsia="Calibri" w:hAnsi="Calibri" w:cs="Calibri"/>
        </w:rPr>
        <w:t>Core functions of the Emergency Ambulance Service</w:t>
      </w:r>
    </w:p>
    <w:p w:rsidR="00A956BD" w:rsidRPr="00A956BD" w:rsidRDefault="00A956BD" w:rsidP="00A956BD">
      <w:pPr>
        <w:widowControl w:val="0"/>
        <w:numPr>
          <w:ilvl w:val="1"/>
          <w:numId w:val="15"/>
        </w:numPr>
        <w:autoSpaceDE w:val="0"/>
        <w:autoSpaceDN w:val="0"/>
        <w:spacing w:after="100" w:afterAutospacing="1" w:line="240" w:lineRule="auto"/>
        <w:ind w:left="1418" w:right="680" w:hanging="567"/>
        <w:rPr>
          <w:rFonts w:ascii="Calibri" w:eastAsia="Calibri" w:hAnsi="Calibri" w:cs="Calibri"/>
        </w:rPr>
      </w:pPr>
      <w:r w:rsidRPr="00A956BD">
        <w:rPr>
          <w:rFonts w:ascii="Calibri" w:eastAsia="Calibri" w:hAnsi="Calibri" w:cs="Calibri"/>
        </w:rPr>
        <w:t>Workforce, recruitment and wellbeing</w:t>
      </w:r>
    </w:p>
    <w:p w:rsidR="00A956BD" w:rsidRPr="00A956BD" w:rsidRDefault="00A956BD" w:rsidP="00A956BD">
      <w:pPr>
        <w:widowControl w:val="0"/>
        <w:numPr>
          <w:ilvl w:val="1"/>
          <w:numId w:val="15"/>
        </w:numPr>
        <w:autoSpaceDE w:val="0"/>
        <w:autoSpaceDN w:val="0"/>
        <w:spacing w:after="100" w:afterAutospacing="1" w:line="240" w:lineRule="auto"/>
        <w:ind w:left="1418" w:right="680" w:hanging="567"/>
        <w:rPr>
          <w:rFonts w:ascii="Calibri" w:eastAsia="Calibri" w:hAnsi="Calibri" w:cs="Calibri"/>
        </w:rPr>
      </w:pPr>
      <w:r w:rsidRPr="00A956BD">
        <w:rPr>
          <w:rFonts w:ascii="Calibri" w:eastAsia="Calibri" w:hAnsi="Calibri" w:cs="Calibri"/>
        </w:rPr>
        <w:t>Digital change and technology</w:t>
      </w:r>
    </w:p>
    <w:p w:rsidR="00A956BD" w:rsidRPr="00A956BD" w:rsidRDefault="00A956BD" w:rsidP="00A956BD">
      <w:pPr>
        <w:widowControl w:val="0"/>
        <w:numPr>
          <w:ilvl w:val="1"/>
          <w:numId w:val="15"/>
        </w:numPr>
        <w:autoSpaceDE w:val="0"/>
        <w:autoSpaceDN w:val="0"/>
        <w:spacing w:after="100" w:afterAutospacing="1" w:line="240" w:lineRule="auto"/>
        <w:ind w:left="1418" w:right="680" w:hanging="567"/>
        <w:rPr>
          <w:rFonts w:ascii="Calibri" w:eastAsia="Calibri" w:hAnsi="Calibri" w:cs="Calibri"/>
        </w:rPr>
      </w:pPr>
      <w:r w:rsidRPr="00A956BD">
        <w:rPr>
          <w:rFonts w:ascii="Calibri" w:eastAsia="Calibri" w:hAnsi="Calibri" w:cs="Calibri"/>
        </w:rPr>
        <w:t>Measurement for improvement</w:t>
      </w:r>
    </w:p>
    <w:p w:rsidR="00A956BD" w:rsidRPr="00A956BD" w:rsidRDefault="00A956BD" w:rsidP="00A956BD">
      <w:pPr>
        <w:widowControl w:val="0"/>
        <w:autoSpaceDE w:val="0"/>
        <w:autoSpaceDN w:val="0"/>
        <w:spacing w:after="0" w:line="240" w:lineRule="auto"/>
        <w:ind w:left="567" w:right="680"/>
        <w:jc w:val="both"/>
        <w:outlineLvl w:val="4"/>
        <w:rPr>
          <w:rFonts w:ascii="Calibri" w:eastAsia="Calibri" w:hAnsi="Calibri" w:cs="Calibri"/>
          <w:color w:val="44546A" w:themeColor="text2"/>
        </w:rPr>
      </w:pPr>
      <w:r w:rsidRPr="00A956BD">
        <w:rPr>
          <w:rFonts w:ascii="Calibri" w:eastAsia="Calibri" w:hAnsi="Calibri" w:cs="Calibri"/>
          <w:color w:val="44546A" w:themeColor="text2"/>
        </w:rPr>
        <w:lastRenderedPageBreak/>
        <w:t>EMS Demand &amp; Capacity Review 2019</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We will enact the implementation of the Demand and Capacity review of the emergency ambulance service in Wales, our focus will be on maximising the efficiency of current and additional investment to support improved performance and clinical outcomes. This will include the development of in house capability to support the ongoing delivery of demand and capacity management.</w:t>
      </w:r>
      <w:r w:rsidRPr="00A956BD">
        <w:rPr>
          <w:rFonts w:ascii="Calibri" w:eastAsia="Calibri" w:hAnsi="Calibri" w:cs="Calibri"/>
          <w:highlight w:val="yellow"/>
        </w:rPr>
        <w:t xml:space="preserve">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outlineLvl w:val="4"/>
        <w:rPr>
          <w:rFonts w:ascii="Calibri" w:eastAsia="Calibri" w:hAnsi="Calibri" w:cs="Calibri"/>
          <w:color w:val="44546A" w:themeColor="text2"/>
        </w:rPr>
      </w:pPr>
      <w:r w:rsidRPr="00A956BD">
        <w:rPr>
          <w:rFonts w:ascii="Calibri" w:eastAsia="Calibri" w:hAnsi="Calibri" w:cs="Calibri"/>
          <w:color w:val="44546A" w:themeColor="text2"/>
        </w:rPr>
        <w:t>NEPTS Demand &amp; Capacity Review 2020</w:t>
      </w:r>
    </w:p>
    <w:p w:rsidR="00A956BD" w:rsidRPr="00A956BD" w:rsidRDefault="00A956BD" w:rsidP="00A956BD">
      <w:pPr>
        <w:ind w:left="567" w:right="680"/>
      </w:pPr>
      <w:r w:rsidRPr="00A956BD">
        <w:t xml:space="preserve">NCCU will work collaboratively with WAST to scope and implement the 2020 NEPTS Demand &amp; Capacity. This review will be key to realising the efficiencies described in the NEPTS Business Case. </w:t>
      </w:r>
    </w:p>
    <w:p w:rsidR="00A956BD" w:rsidRPr="00A956BD" w:rsidRDefault="00A956BD" w:rsidP="00A956BD">
      <w:pPr>
        <w:widowControl w:val="0"/>
        <w:autoSpaceDE w:val="0"/>
        <w:autoSpaceDN w:val="0"/>
        <w:spacing w:after="0" w:line="240" w:lineRule="auto"/>
        <w:ind w:left="567" w:right="680"/>
        <w:jc w:val="both"/>
        <w:outlineLvl w:val="4"/>
        <w:rPr>
          <w:rFonts w:ascii="Calibri" w:eastAsia="Calibri" w:hAnsi="Calibri" w:cs="Calibri"/>
          <w:color w:val="44546A" w:themeColor="text2"/>
        </w:rPr>
      </w:pPr>
      <w:r w:rsidRPr="00A956BD">
        <w:rPr>
          <w:rFonts w:ascii="Calibri" w:eastAsia="Calibri" w:hAnsi="Calibri" w:cs="Calibri"/>
          <w:color w:val="44546A" w:themeColor="text2"/>
        </w:rPr>
        <w:t>Amber Review Implementation Programme (ARIP)</w:t>
      </w:r>
    </w:p>
    <w:p w:rsidR="00A956BD" w:rsidRPr="00A956BD" w:rsidRDefault="00A956BD" w:rsidP="00A956BD">
      <w:pPr>
        <w:tabs>
          <w:tab w:val="left" w:pos="142"/>
        </w:tabs>
        <w:ind w:left="567" w:right="680"/>
        <w:jc w:val="both"/>
        <w:rPr>
          <w:rFonts w:ascii="Calibri" w:eastAsia="Calibri" w:hAnsi="Calibri" w:cs="Calibri"/>
        </w:rPr>
      </w:pPr>
      <w:r w:rsidRPr="00A956BD">
        <w:rPr>
          <w:rFonts w:ascii="Calibri" w:eastAsia="Calibri" w:hAnsi="Calibri" w:cs="Calibri"/>
        </w:rPr>
        <w:t xml:space="preserve">This programme will address any legacy issues arising from the completion of the ARIP. </w:t>
      </w:r>
      <w:r w:rsidRPr="00A956BD">
        <w:rPr>
          <w:rFonts w:cs="Arial"/>
        </w:rPr>
        <w:t>This will include developing and implementing a long wait reduction programme and a review to support health boards to minimise hours lost to handover delays.</w:t>
      </w:r>
    </w:p>
    <w:p w:rsidR="00A956BD" w:rsidRPr="00A956BD" w:rsidRDefault="00A956BD" w:rsidP="00A956BD">
      <w:pPr>
        <w:widowControl w:val="0"/>
        <w:autoSpaceDE w:val="0"/>
        <w:autoSpaceDN w:val="0"/>
        <w:spacing w:before="11" w:after="0" w:line="240" w:lineRule="auto"/>
        <w:ind w:left="567" w:right="680"/>
        <w:rPr>
          <w:rFonts w:ascii="Calibri" w:eastAsia="Calibri" w:hAnsi="Calibri" w:cs="Calibri"/>
          <w:sz w:val="14"/>
        </w:rPr>
      </w:pPr>
    </w:p>
    <w:p w:rsidR="00A956BD" w:rsidRPr="00A956BD" w:rsidRDefault="00A956BD" w:rsidP="00A956BD">
      <w:pPr>
        <w:keepNext/>
        <w:keepLines/>
        <w:numPr>
          <w:ilvl w:val="1"/>
          <w:numId w:val="0"/>
        </w:numPr>
        <w:spacing w:before="40" w:after="0"/>
        <w:ind w:left="1145" w:right="680" w:hanging="578"/>
        <w:outlineLvl w:val="1"/>
        <w:rPr>
          <w:rFonts w:asciiTheme="majorHAnsi" w:eastAsia="Cambria" w:hAnsiTheme="majorHAnsi" w:cstheme="majorBidi"/>
          <w:b/>
          <w:color w:val="1F4E79" w:themeColor="accent1" w:themeShade="80"/>
          <w:sz w:val="32"/>
          <w:szCs w:val="26"/>
        </w:rPr>
      </w:pPr>
      <w:bookmarkStart w:id="10" w:name="Commissioning_Emergency_Ambulance_Servic"/>
      <w:bookmarkStart w:id="11" w:name="_Toc30755886"/>
      <w:bookmarkEnd w:id="10"/>
      <w:r w:rsidRPr="00A956BD">
        <w:rPr>
          <w:rFonts w:asciiTheme="majorHAnsi" w:eastAsia="Cambria" w:hAnsiTheme="majorHAnsi" w:cstheme="majorBidi"/>
          <w:b/>
          <w:color w:val="1F4E79" w:themeColor="accent1" w:themeShade="80"/>
          <w:sz w:val="32"/>
          <w:szCs w:val="26"/>
        </w:rPr>
        <w:t>Insight &amp; Innovation</w:t>
      </w:r>
      <w:bookmarkEnd w:id="11"/>
      <w:r w:rsidRPr="00A956BD">
        <w:rPr>
          <w:rFonts w:asciiTheme="majorHAnsi" w:eastAsia="Cambria" w:hAnsiTheme="majorHAnsi" w:cstheme="majorBidi"/>
          <w:b/>
          <w:color w:val="1F4E79" w:themeColor="accent1" w:themeShade="80"/>
          <w:sz w:val="32"/>
          <w:szCs w:val="26"/>
        </w:rPr>
        <w:t xml:space="preserve"> </w:t>
      </w:r>
    </w:p>
    <w:p w:rsidR="00A956BD" w:rsidRPr="00A956BD" w:rsidRDefault="00A956BD" w:rsidP="00A956BD">
      <w:pPr>
        <w:keepNext/>
        <w:keepLines/>
        <w:numPr>
          <w:ilvl w:val="2"/>
          <w:numId w:val="0"/>
        </w:numPr>
        <w:spacing w:before="40" w:after="0"/>
        <w:ind w:left="1287" w:right="680" w:hanging="720"/>
        <w:outlineLvl w:val="2"/>
        <w:rPr>
          <w:rFonts w:asciiTheme="majorHAnsi" w:eastAsia="Cambria" w:hAnsiTheme="majorHAnsi" w:cstheme="majorBidi"/>
          <w:color w:val="1F4D78" w:themeColor="accent1" w:themeShade="7F"/>
          <w:sz w:val="28"/>
          <w:szCs w:val="24"/>
        </w:rPr>
      </w:pPr>
      <w:r w:rsidRPr="00A956BD">
        <w:rPr>
          <w:rFonts w:asciiTheme="majorHAnsi" w:eastAsia="Cambria" w:hAnsiTheme="majorHAnsi" w:cstheme="majorBidi"/>
          <w:color w:val="1F4D78" w:themeColor="accent1" w:themeShade="7F"/>
          <w:sz w:val="28"/>
          <w:szCs w:val="24"/>
        </w:rPr>
        <w:t>1% a Healthier Wales Awarding Evaluation Panel (HWAEP)</w:t>
      </w:r>
    </w:p>
    <w:p w:rsidR="00A956BD" w:rsidRPr="00A956BD" w:rsidRDefault="00A956BD" w:rsidP="00A956BD">
      <w:pPr>
        <w:ind w:left="567" w:right="680"/>
        <w:jc w:val="both"/>
        <w:rPr>
          <w:rFonts w:ascii="Calibri" w:eastAsia="Calibri" w:hAnsi="Calibri" w:cs="Calibri"/>
        </w:rPr>
      </w:pPr>
      <w:r w:rsidRPr="00A956BD">
        <w:rPr>
          <w:rFonts w:ascii="Calibri" w:eastAsia="Calibri" w:hAnsi="Calibri" w:cs="Calibri"/>
        </w:rPr>
        <w:t xml:space="preserve">In 2019/20 the NCCU formed the Heathier Wales Awarding Evaluation and process for WAST and Health Boards to bid against the EASC 1% A Healthier Wales Commissioning Allocation. This process saw 9 schemes agreed for funding. </w:t>
      </w:r>
    </w:p>
    <w:p w:rsidR="00A956BD" w:rsidRPr="00A956BD" w:rsidRDefault="00A956BD" w:rsidP="00A956BD">
      <w:pPr>
        <w:ind w:left="567" w:right="680"/>
        <w:jc w:val="both"/>
        <w:rPr>
          <w:rFonts w:ascii="Calibri" w:eastAsia="Calibri" w:hAnsi="Calibri" w:cs="Calibri"/>
        </w:rPr>
      </w:pPr>
      <w:r w:rsidRPr="00A956BD">
        <w:rPr>
          <w:rFonts w:ascii="Calibri" w:eastAsia="Calibri" w:hAnsi="Calibri" w:cs="Calibri"/>
        </w:rPr>
        <w:t xml:space="preserve">The process will be repeated within each IMTP year and will provide the opportunity for submitting organisations share ideas and concepts and to enable collaboration to develop these regionally and nationally. </w:t>
      </w:r>
    </w:p>
    <w:p w:rsidR="00A956BD" w:rsidRPr="00A956BD" w:rsidRDefault="00A956BD" w:rsidP="00A956BD">
      <w:pPr>
        <w:ind w:left="567" w:right="680"/>
        <w:jc w:val="both"/>
      </w:pPr>
      <w:r w:rsidRPr="00A956BD">
        <w:rPr>
          <w:rFonts w:ascii="Calibri" w:eastAsia="Calibri" w:hAnsi="Calibri" w:cs="Calibri"/>
        </w:rPr>
        <w:t xml:space="preserve">The process will support the EASC Chair’s objectives around closer working between EASC and NPUC, it will promote closer working between WAST and Health boards and will support the identification of innovation. The NCCU researcher will support the evaluation of all agreed and new schemes. The HWAEP principles developed to support this process will remain </w:t>
      </w:r>
    </w:p>
    <w:p w:rsidR="00A956BD" w:rsidRPr="00A956BD" w:rsidRDefault="00A956BD" w:rsidP="00A956BD">
      <w:pPr>
        <w:widowControl w:val="0"/>
        <w:numPr>
          <w:ilvl w:val="3"/>
          <w:numId w:val="0"/>
        </w:numPr>
        <w:autoSpaceDE w:val="0"/>
        <w:autoSpaceDN w:val="0"/>
        <w:spacing w:after="0" w:line="240" w:lineRule="auto"/>
        <w:ind w:left="1429" w:right="680"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HWAEP Principles</w:t>
      </w:r>
    </w:p>
    <w:p w:rsidR="00A956BD" w:rsidRPr="00A956BD" w:rsidRDefault="00A956BD" w:rsidP="00A956BD">
      <w:pPr>
        <w:widowControl w:val="0"/>
        <w:numPr>
          <w:ilvl w:val="0"/>
          <w:numId w:val="10"/>
        </w:numPr>
        <w:tabs>
          <w:tab w:val="left" w:pos="1134"/>
        </w:tabs>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Total sum of EASC 1% set aside for ‘additionality’ of all EASC commissioned services.</w:t>
      </w:r>
    </w:p>
    <w:p w:rsidR="00A956BD" w:rsidRPr="00A956BD" w:rsidRDefault="00A956BD" w:rsidP="00A956BD">
      <w:pPr>
        <w:widowControl w:val="0"/>
        <w:numPr>
          <w:ilvl w:val="0"/>
          <w:numId w:val="10"/>
        </w:numPr>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 xml:space="preserve">Service Initiatives to be considered consistently and in the context of the 1% allocation available not the contribution for that particular service. </w:t>
      </w:r>
    </w:p>
    <w:p w:rsidR="00A956BD" w:rsidRPr="00A956BD" w:rsidRDefault="00A956BD" w:rsidP="00A956BD">
      <w:pPr>
        <w:widowControl w:val="0"/>
        <w:numPr>
          <w:ilvl w:val="0"/>
          <w:numId w:val="10"/>
        </w:numPr>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Service Initiatives related to Joint Improvements for EMS &amp; NEPTS 2020/21 Commissioning Intentions and IMTPs to be identified and considered; plus the IMTP related additional APP development.</w:t>
      </w:r>
    </w:p>
    <w:p w:rsidR="00A956BD" w:rsidRPr="00A956BD" w:rsidRDefault="00A956BD" w:rsidP="00A956BD">
      <w:pPr>
        <w:widowControl w:val="0"/>
        <w:numPr>
          <w:ilvl w:val="0"/>
          <w:numId w:val="10"/>
        </w:numPr>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A Standardised EARTH Template for proposed Service Initiatives to be completed.</w:t>
      </w:r>
    </w:p>
    <w:p w:rsidR="00A956BD" w:rsidRPr="00A956BD" w:rsidRDefault="00A956BD" w:rsidP="00A956BD">
      <w:pPr>
        <w:widowControl w:val="0"/>
        <w:numPr>
          <w:ilvl w:val="0"/>
          <w:numId w:val="10"/>
        </w:numPr>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Funding may be used for: a) ‘pump priming’ initiatives, b) non-recurrent pilot initiatives, and c) recurrent initiatives – though evidence base needs to be sound for such a commitment</w:t>
      </w:r>
    </w:p>
    <w:p w:rsidR="00A956BD" w:rsidRPr="00A956BD" w:rsidRDefault="00A956BD" w:rsidP="00A956BD">
      <w:pPr>
        <w:widowControl w:val="0"/>
        <w:numPr>
          <w:ilvl w:val="0"/>
          <w:numId w:val="10"/>
        </w:numPr>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 xml:space="preserve">Health Boards may wish to provide extra funding (e.g from their own transformational funds) to the Service Initiatives identified through this process.  </w:t>
      </w:r>
    </w:p>
    <w:p w:rsidR="00A956BD" w:rsidRPr="00A956BD" w:rsidRDefault="00A956BD" w:rsidP="00A956BD">
      <w:pPr>
        <w:widowControl w:val="0"/>
        <w:numPr>
          <w:ilvl w:val="0"/>
          <w:numId w:val="10"/>
        </w:numPr>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 xml:space="preserve">As detailed within the Commissioning Intentions for WAST and the EASC / WAST IMTPs, WAST are required to improve their existing resource utilisation towards supporting performance improvements. </w:t>
      </w:r>
    </w:p>
    <w:p w:rsidR="00A956BD" w:rsidRPr="00A956BD" w:rsidRDefault="00A956BD" w:rsidP="00A956BD">
      <w:pPr>
        <w:widowControl w:val="0"/>
        <w:numPr>
          <w:ilvl w:val="0"/>
          <w:numId w:val="10"/>
        </w:numPr>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As an all Wales discharge &amp; transfer service of the future is yet to be scoped and commissioned by EASC through WAST then this is not to be included.</w:t>
      </w:r>
    </w:p>
    <w:p w:rsidR="00A956BD" w:rsidRPr="00A956BD" w:rsidRDefault="00A956BD" w:rsidP="00A956BD">
      <w:pPr>
        <w:widowControl w:val="0"/>
        <w:numPr>
          <w:ilvl w:val="0"/>
          <w:numId w:val="10"/>
        </w:numPr>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Tertiary related service changes via WHSCC which have a transport element should be considered by WHSSC and not to be included.</w:t>
      </w:r>
    </w:p>
    <w:p w:rsidR="00A956BD" w:rsidRPr="00A956BD" w:rsidRDefault="00A956BD" w:rsidP="00A956BD">
      <w:pPr>
        <w:widowControl w:val="0"/>
        <w:numPr>
          <w:ilvl w:val="0"/>
          <w:numId w:val="10"/>
        </w:numPr>
        <w:tabs>
          <w:tab w:val="left" w:pos="1134"/>
          <w:tab w:val="left" w:pos="1276"/>
        </w:tabs>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An equitable approach to Service Initiatives by Health Boards should be adopted – so for example a) those that are scalable across Wales to be favoured, and b) Health Boards can supplement baseline provision through additional local funding as per 6) above.</w:t>
      </w:r>
    </w:p>
    <w:p w:rsidR="00A956BD" w:rsidRPr="00A956BD" w:rsidRDefault="00A956BD" w:rsidP="00A956BD">
      <w:pPr>
        <w:widowControl w:val="0"/>
        <w:tabs>
          <w:tab w:val="left" w:pos="8482"/>
          <w:tab w:val="left" w:pos="9498"/>
        </w:tabs>
        <w:autoSpaceDE w:val="0"/>
        <w:autoSpaceDN w:val="0"/>
        <w:spacing w:after="0" w:line="240" w:lineRule="auto"/>
        <w:ind w:left="567" w:right="680"/>
        <w:jc w:val="both"/>
        <w:rPr>
          <w:rFonts w:ascii="Calibri" w:eastAsia="Calibri" w:hAnsi="Calibri" w:cs="Calibri"/>
        </w:rPr>
      </w:pPr>
    </w:p>
    <w:p w:rsidR="00A956BD" w:rsidRPr="00A956BD" w:rsidRDefault="00A956BD" w:rsidP="00A956BD">
      <w:pPr>
        <w:keepNext/>
        <w:keepLines/>
        <w:numPr>
          <w:ilvl w:val="2"/>
          <w:numId w:val="0"/>
        </w:numPr>
        <w:spacing w:before="40" w:after="0"/>
        <w:ind w:left="1287" w:right="680" w:hanging="720"/>
        <w:outlineLvl w:val="2"/>
        <w:rPr>
          <w:rFonts w:asciiTheme="majorHAnsi" w:eastAsia="Cambria" w:hAnsiTheme="majorHAnsi" w:cstheme="majorBidi"/>
          <w:color w:val="1F4D78" w:themeColor="accent1" w:themeShade="7F"/>
          <w:sz w:val="28"/>
          <w:szCs w:val="24"/>
        </w:rPr>
      </w:pPr>
      <w:r w:rsidRPr="00A956BD">
        <w:rPr>
          <w:rFonts w:asciiTheme="majorHAnsi" w:eastAsia="Cambria" w:hAnsiTheme="majorHAnsi" w:cstheme="majorBidi"/>
          <w:color w:val="1F4D78" w:themeColor="accent1" w:themeShade="7F"/>
          <w:sz w:val="28"/>
          <w:szCs w:val="24"/>
        </w:rPr>
        <w:t>Research &amp; Evaluation</w:t>
      </w:r>
    </w:p>
    <w:p w:rsidR="00A956BD" w:rsidRPr="00A956BD" w:rsidRDefault="00A956BD" w:rsidP="00A956BD">
      <w:pPr>
        <w:widowControl w:val="0"/>
        <w:tabs>
          <w:tab w:val="left" w:pos="8482"/>
          <w:tab w:val="left" w:pos="9498"/>
        </w:tabs>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The Healthier Wales long-term plan for better population health centralises the Quadruple Aim for health care. Similar aims have been adopted worldwide and increasingly health care research adopts a quadruple aim perspective (cf. Liddy and Keely 2018). Similarly, the NCCU will deliver a framework that provides stakeholders with a Quadruple Aim perspective on health care initiatives across Wales, allowing for a fair comparison of initiatives. Due to its unique position as a collaborator working across health boards, the NCCU is able to find similar initiatives and analyse the commonalities and differences to support the sharing of knowledge and expertise, leading to the overall improvement of health care programmes. Ultimately, this framework will:</w:t>
      </w:r>
    </w:p>
    <w:p w:rsidR="00A956BD" w:rsidRPr="00A956BD" w:rsidRDefault="00A956BD" w:rsidP="00A956BD">
      <w:pPr>
        <w:widowControl w:val="0"/>
        <w:tabs>
          <w:tab w:val="left" w:pos="8482"/>
          <w:tab w:val="left" w:pos="9498"/>
        </w:tabs>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w:t>
      </w:r>
      <w:r w:rsidRPr="00A956BD">
        <w:rPr>
          <w:rFonts w:ascii="Calibri" w:eastAsia="Calibri" w:hAnsi="Calibri" w:cs="Calibri"/>
        </w:rPr>
        <w:tab/>
        <w:t>Provide an easy to read comparative analysis of initiatives across Wales</w:t>
      </w:r>
    </w:p>
    <w:p w:rsidR="00A956BD" w:rsidRPr="00A956BD" w:rsidRDefault="00A956BD" w:rsidP="00A956BD">
      <w:pPr>
        <w:widowControl w:val="0"/>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w:t>
      </w:r>
      <w:r w:rsidRPr="00A956BD">
        <w:rPr>
          <w:rFonts w:ascii="Calibri" w:eastAsia="Calibri" w:hAnsi="Calibri" w:cs="Calibri"/>
        </w:rPr>
        <w:tab/>
        <w:t>Ensure that like is compared with like</w:t>
      </w:r>
    </w:p>
    <w:p w:rsidR="00A956BD" w:rsidRPr="00A956BD" w:rsidRDefault="00A956BD" w:rsidP="00A956BD">
      <w:pPr>
        <w:widowControl w:val="0"/>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w:t>
      </w:r>
      <w:r w:rsidRPr="00A956BD">
        <w:rPr>
          <w:rFonts w:ascii="Calibri" w:eastAsia="Calibri" w:hAnsi="Calibri" w:cs="Calibri"/>
        </w:rPr>
        <w:tab/>
        <w:t>Support the sharing of knowledge with regard to what works well and why</w:t>
      </w:r>
    </w:p>
    <w:p w:rsidR="00A956BD" w:rsidRPr="00A956BD" w:rsidRDefault="00A956BD" w:rsidP="00A956BD">
      <w:pPr>
        <w:widowControl w:val="0"/>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w:t>
      </w:r>
      <w:r w:rsidRPr="00A956BD">
        <w:rPr>
          <w:rFonts w:ascii="Calibri" w:eastAsia="Calibri" w:hAnsi="Calibri" w:cs="Calibri"/>
        </w:rPr>
        <w:tab/>
        <w:t>Provide a Quadruple Aim perspective in line with government policy</w:t>
      </w:r>
    </w:p>
    <w:p w:rsidR="00A956BD" w:rsidRPr="00A956BD" w:rsidRDefault="00A956BD" w:rsidP="00A956BD">
      <w:pPr>
        <w:widowControl w:val="0"/>
        <w:tabs>
          <w:tab w:val="left" w:pos="993"/>
          <w:tab w:val="left" w:pos="9498"/>
        </w:tabs>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numPr>
          <w:ilvl w:val="3"/>
          <w:numId w:val="0"/>
        </w:numPr>
        <w:autoSpaceDE w:val="0"/>
        <w:autoSpaceDN w:val="0"/>
        <w:spacing w:after="0" w:line="240" w:lineRule="auto"/>
        <w:ind w:left="1429"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 xml:space="preserve">EASC Evaluation Activity </w:t>
      </w:r>
    </w:p>
    <w:p w:rsidR="00A956BD" w:rsidRPr="00A956BD" w:rsidRDefault="00A956BD" w:rsidP="00A956BD">
      <w:pPr>
        <w:widowControl w:val="0"/>
        <w:tabs>
          <w:tab w:val="left" w:pos="567"/>
          <w:tab w:val="left" w:pos="9498"/>
        </w:tabs>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During 2020/23 we will continue to work with the C3 Faculty to provide support to EASC in terms of the EASC 1% A Healthier Wales Commissioning Allocation, Winter Planning Evaluation 2019/20 and to inform the future direction of EASC and support the evaluation of ambulance and Unscheduled Care Services service change initiatives in order to share and spread nationally an understanding of what works and doesn’t work.</w:t>
      </w:r>
    </w:p>
    <w:p w:rsidR="00A956BD" w:rsidRPr="00A956BD" w:rsidRDefault="00A956BD" w:rsidP="00A956BD">
      <w:pPr>
        <w:widowControl w:val="0"/>
        <w:tabs>
          <w:tab w:val="left" w:pos="567"/>
          <w:tab w:val="left" w:pos="9498"/>
        </w:tabs>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numPr>
          <w:ilvl w:val="3"/>
          <w:numId w:val="0"/>
        </w:numPr>
        <w:autoSpaceDE w:val="0"/>
        <w:autoSpaceDN w:val="0"/>
        <w:spacing w:after="0" w:line="240" w:lineRule="auto"/>
        <w:ind w:left="1429"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 xml:space="preserve">Evaluation of WAST Initiatives </w:t>
      </w:r>
    </w:p>
    <w:p w:rsidR="00A956BD" w:rsidRPr="00A956BD" w:rsidRDefault="00A956BD" w:rsidP="00A956BD">
      <w:pPr>
        <w:widowControl w:val="0"/>
        <w:tabs>
          <w:tab w:val="left" w:pos="8482"/>
          <w:tab w:val="left" w:pos="9498"/>
        </w:tabs>
        <w:autoSpaceDE w:val="0"/>
        <w:autoSpaceDN w:val="0"/>
        <w:spacing w:before="1" w:after="0" w:line="264" w:lineRule="exact"/>
        <w:ind w:left="567" w:right="680"/>
        <w:jc w:val="both"/>
        <w:rPr>
          <w:rFonts w:ascii="Calibri" w:eastAsia="Calibri" w:hAnsi="Calibri" w:cs="Calibri"/>
        </w:rPr>
      </w:pPr>
      <w:r w:rsidRPr="00A956BD">
        <w:rPr>
          <w:rFonts w:ascii="Calibri" w:eastAsia="Calibri" w:hAnsi="Calibri" w:cs="Calibri"/>
        </w:rPr>
        <w:t xml:space="preserve">NCCU has delivered evaluation of the WAST initiatives around the expansion of the clinical desk, National Falls Schemes and Advanced Paramedic Practitioners. Utilising baseline measures and a mixed methods evaluation approach as well as being clear around the benefits that will be realised to ensure that funded schemes provide the value to the system. </w:t>
      </w:r>
    </w:p>
    <w:p w:rsidR="00A956BD" w:rsidRPr="00A956BD" w:rsidRDefault="00A956BD" w:rsidP="00A956BD">
      <w:pPr>
        <w:widowControl w:val="0"/>
        <w:tabs>
          <w:tab w:val="left" w:pos="8482"/>
          <w:tab w:val="left" w:pos="9498"/>
        </w:tabs>
        <w:autoSpaceDE w:val="0"/>
        <w:autoSpaceDN w:val="0"/>
        <w:spacing w:before="1" w:after="0" w:line="264" w:lineRule="exact"/>
        <w:ind w:left="567" w:right="680"/>
        <w:jc w:val="both"/>
        <w:rPr>
          <w:rFonts w:ascii="Calibri" w:eastAsia="Calibri" w:hAnsi="Calibri" w:cs="Calibri"/>
        </w:rPr>
      </w:pPr>
    </w:p>
    <w:p w:rsidR="00A956BD" w:rsidRPr="00A956BD" w:rsidRDefault="00A956BD" w:rsidP="00A956BD">
      <w:pPr>
        <w:widowControl w:val="0"/>
        <w:numPr>
          <w:ilvl w:val="3"/>
          <w:numId w:val="0"/>
        </w:numPr>
        <w:autoSpaceDE w:val="0"/>
        <w:autoSpaceDN w:val="0"/>
        <w:spacing w:after="0" w:line="240" w:lineRule="auto"/>
        <w:ind w:left="1429" w:hanging="862"/>
        <w:outlineLvl w:val="3"/>
        <w:rPr>
          <w:rFonts w:ascii="Calibri" w:eastAsia="Calibri" w:hAnsi="Calibri" w:cs="Calibri"/>
          <w:b/>
          <w:bCs/>
          <w:color w:val="44546A" w:themeColor="text2"/>
        </w:rPr>
      </w:pPr>
      <w:r w:rsidRPr="00A956BD">
        <w:rPr>
          <w:rFonts w:ascii="Calibri" w:eastAsia="Calibri" w:hAnsi="Calibri" w:cs="Calibri"/>
          <w:b/>
          <w:bCs/>
          <w:color w:val="44546A" w:themeColor="text2"/>
        </w:rPr>
        <w:t>EMRTS Formal Service Evaluation</w:t>
      </w:r>
    </w:p>
    <w:p w:rsidR="00A956BD" w:rsidRPr="00A956BD" w:rsidRDefault="00A956BD" w:rsidP="00A956BD">
      <w:pPr>
        <w:widowControl w:val="0"/>
        <w:tabs>
          <w:tab w:val="left" w:pos="9072"/>
        </w:tabs>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The independent EMRTS Cymru Service Evaluation is being undertaken by Swansea University to produce a comprehensive evaluation of three years of EMRTS service activity and outcomes.  The review is being undertaken against the agreed benefits realisation plan and key investment objectives of Health Gain, Equity and Clinical &amp; Skills Sustainability.</w:t>
      </w:r>
    </w:p>
    <w:p w:rsidR="00A956BD" w:rsidRPr="00A956BD" w:rsidRDefault="00A956BD" w:rsidP="00A956BD">
      <w:pPr>
        <w:widowControl w:val="0"/>
        <w:tabs>
          <w:tab w:val="left" w:pos="8482"/>
          <w:tab w:val="left" w:pos="9498"/>
        </w:tabs>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tabs>
          <w:tab w:val="left" w:pos="8482"/>
          <w:tab w:val="left" w:pos="9214"/>
        </w:tabs>
        <w:autoSpaceDE w:val="0"/>
        <w:autoSpaceDN w:val="0"/>
        <w:spacing w:before="1" w:after="0" w:line="266" w:lineRule="exact"/>
        <w:ind w:left="567" w:right="680"/>
        <w:jc w:val="both"/>
        <w:rPr>
          <w:rFonts w:ascii="Calibri" w:eastAsia="Calibri" w:hAnsi="Calibri" w:cs="Calibri"/>
        </w:rPr>
      </w:pPr>
      <w:r w:rsidRPr="00A956BD">
        <w:rPr>
          <w:rFonts w:ascii="Calibri" w:eastAsia="Calibri" w:hAnsi="Calibri" w:cs="Calibri"/>
        </w:rPr>
        <w:t xml:space="preserve">EMRTS is well placed to develop research and quality improvement initiatives to improve knowledge and treatment of critically ill patients. A research and development strategy will be developed in 2020/21.This has supported the development and approval of the business case for 24/7 EMRTS operating hours. It will also support evaluation on the impact of 24/7 operating. </w:t>
      </w:r>
    </w:p>
    <w:p w:rsidR="00A956BD" w:rsidRPr="00A956BD" w:rsidRDefault="00A956BD" w:rsidP="00A956BD">
      <w:pPr>
        <w:widowControl w:val="0"/>
        <w:tabs>
          <w:tab w:val="left" w:pos="8482"/>
          <w:tab w:val="left" w:pos="9498"/>
        </w:tabs>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tabs>
          <w:tab w:val="left" w:pos="10348"/>
        </w:tabs>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An EMRTS Research &amp; Audit Group has been established to lead on this work, reporting to the EMRTS Clinical &amp; Operational Board.  A key initial output will be the ongoing data analysis and evaluation of the service performed in partnership with Swansea University. Work is also underway with national partners to deliver research relating to technological innovation, wellbeing, equipment and clinical care.  It is anticipated that future research activities will include working in partnership with Welsh Ambulance Service, other pre-hospital services and academic institutions.</w:t>
      </w:r>
    </w:p>
    <w:p w:rsidR="00A956BD" w:rsidRPr="00A956BD" w:rsidRDefault="00A956BD" w:rsidP="00A956BD">
      <w:pPr>
        <w:widowControl w:val="0"/>
        <w:tabs>
          <w:tab w:val="left" w:pos="8482"/>
          <w:tab w:val="left" w:pos="9498"/>
        </w:tabs>
        <w:autoSpaceDE w:val="0"/>
        <w:autoSpaceDN w:val="0"/>
        <w:spacing w:after="0" w:line="240" w:lineRule="auto"/>
        <w:ind w:left="567" w:right="680"/>
        <w:jc w:val="both"/>
        <w:rPr>
          <w:rFonts w:ascii="Calibri" w:eastAsia="Calibri" w:hAnsi="Calibri" w:cs="Calibri"/>
        </w:rPr>
      </w:pPr>
    </w:p>
    <w:p w:rsidR="00A956BD" w:rsidRPr="00A956BD" w:rsidRDefault="00A956BD" w:rsidP="00A956BD">
      <w:pPr>
        <w:keepNext/>
        <w:keepLines/>
        <w:numPr>
          <w:ilvl w:val="2"/>
          <w:numId w:val="0"/>
        </w:numPr>
        <w:spacing w:before="40" w:after="0"/>
        <w:ind w:left="1287" w:hanging="720"/>
        <w:outlineLvl w:val="2"/>
        <w:rPr>
          <w:rFonts w:asciiTheme="majorHAnsi" w:eastAsia="Cambria" w:hAnsiTheme="majorHAnsi" w:cstheme="majorBidi"/>
          <w:color w:val="1F4D78" w:themeColor="accent1" w:themeShade="7F"/>
          <w:sz w:val="28"/>
          <w:szCs w:val="24"/>
        </w:rPr>
      </w:pPr>
      <w:r w:rsidRPr="00A956BD">
        <w:rPr>
          <w:rFonts w:asciiTheme="majorHAnsi" w:eastAsia="Cambria" w:hAnsiTheme="majorHAnsi" w:cstheme="majorBidi"/>
          <w:color w:val="1F4D78" w:themeColor="accent1" w:themeShade="7F"/>
          <w:sz w:val="28"/>
          <w:szCs w:val="24"/>
        </w:rPr>
        <w:t xml:space="preserve">CASC advice to stakeholders on EMS, NEPTS &amp; EMRTS </w:t>
      </w:r>
    </w:p>
    <w:p w:rsidR="00A956BD" w:rsidRPr="00A956BD" w:rsidRDefault="00A956BD" w:rsidP="00A956BD">
      <w:pPr>
        <w:widowControl w:val="0"/>
        <w:tabs>
          <w:tab w:val="left" w:pos="9356"/>
        </w:tabs>
        <w:autoSpaceDE w:val="0"/>
        <w:autoSpaceDN w:val="0"/>
        <w:spacing w:before="1" w:after="0" w:line="264" w:lineRule="exact"/>
        <w:ind w:left="567" w:right="680"/>
        <w:rPr>
          <w:rFonts w:ascii="Calibri" w:eastAsia="Calibri" w:hAnsi="Calibri" w:cs="Calibri"/>
          <w:b/>
        </w:rPr>
      </w:pPr>
      <w:r w:rsidRPr="00A956BD">
        <w:rPr>
          <w:rFonts w:ascii="Calibri" w:eastAsia="Calibri" w:hAnsi="Calibri" w:cs="Calibri"/>
        </w:rPr>
        <w:t xml:space="preserve">Chief Ambulance Services Commissioner (CASC) provides advice on ambulance services to a wide range of stakeholders. A list of current EASC Chair actions can be found in </w:t>
      </w:r>
      <w:r w:rsidRPr="00A956BD">
        <w:rPr>
          <w:rFonts w:ascii="Calibri" w:eastAsia="Calibri" w:hAnsi="Calibri" w:cs="Calibri"/>
          <w:b/>
        </w:rPr>
        <w:t>Appendix 10.</w:t>
      </w:r>
    </w:p>
    <w:p w:rsidR="00A956BD" w:rsidRPr="00A956BD" w:rsidRDefault="00A956BD" w:rsidP="00A956BD">
      <w:pPr>
        <w:widowControl w:val="0"/>
        <w:tabs>
          <w:tab w:val="left" w:pos="9498"/>
        </w:tabs>
        <w:autoSpaceDE w:val="0"/>
        <w:autoSpaceDN w:val="0"/>
        <w:spacing w:before="1" w:after="0" w:line="264" w:lineRule="exact"/>
        <w:ind w:left="567" w:right="680"/>
        <w:rPr>
          <w:rFonts w:ascii="Calibri" w:eastAsia="Calibri" w:hAnsi="Calibri" w:cs="Calibri"/>
        </w:rPr>
      </w:pPr>
    </w:p>
    <w:p w:rsidR="00A956BD" w:rsidRPr="00A956BD" w:rsidRDefault="00A956BD" w:rsidP="00A956BD">
      <w:pPr>
        <w:keepNext/>
        <w:keepLines/>
        <w:numPr>
          <w:ilvl w:val="2"/>
          <w:numId w:val="0"/>
        </w:numPr>
        <w:spacing w:before="40" w:after="0"/>
        <w:ind w:left="1287" w:right="680" w:hanging="720"/>
        <w:outlineLvl w:val="2"/>
        <w:rPr>
          <w:rFonts w:asciiTheme="majorHAnsi" w:eastAsia="Cambria" w:hAnsiTheme="majorHAnsi" w:cstheme="majorBidi"/>
          <w:color w:val="1F4D78" w:themeColor="accent1" w:themeShade="7F"/>
          <w:sz w:val="28"/>
          <w:szCs w:val="24"/>
        </w:rPr>
      </w:pPr>
      <w:r w:rsidRPr="00A956BD">
        <w:rPr>
          <w:rFonts w:asciiTheme="majorHAnsi" w:eastAsia="Cambria" w:hAnsiTheme="majorHAnsi" w:cstheme="majorBidi"/>
          <w:color w:val="1F4D78" w:themeColor="accent1" w:themeShade="7F"/>
          <w:sz w:val="28"/>
          <w:szCs w:val="24"/>
        </w:rPr>
        <w:lastRenderedPageBreak/>
        <w:t>Engagement with Key Strategic Partners</w:t>
      </w:r>
    </w:p>
    <w:p w:rsidR="00A956BD" w:rsidRPr="00A956BD" w:rsidRDefault="00A956BD" w:rsidP="00A956BD">
      <w:pPr>
        <w:widowControl w:val="0"/>
        <w:tabs>
          <w:tab w:val="left" w:pos="10348"/>
        </w:tabs>
        <w:autoSpaceDE w:val="0"/>
        <w:autoSpaceDN w:val="0"/>
        <w:spacing w:before="1" w:after="0" w:line="264" w:lineRule="exact"/>
        <w:ind w:left="567" w:right="680"/>
        <w:jc w:val="both"/>
        <w:rPr>
          <w:rFonts w:ascii="Calibri" w:eastAsia="Calibri" w:hAnsi="Calibri" w:cs="Calibri"/>
        </w:rPr>
      </w:pPr>
      <w:r w:rsidRPr="00A956BD">
        <w:rPr>
          <w:rFonts w:ascii="Calibri" w:eastAsia="Calibri" w:hAnsi="Calibri" w:cs="Calibri"/>
        </w:rPr>
        <w:t>Our collaborative approach support local and strategic engagement with Community Health Councils (CHC) regarding the transformation of NEPTS services across Wales. NCCU facilitates an all Wales strategic meeting with CHC's and supports Health Boards with local meetings to share information on service development.</w:t>
      </w:r>
    </w:p>
    <w:p w:rsidR="00A956BD" w:rsidRPr="00A956BD" w:rsidRDefault="00A956BD" w:rsidP="00A956BD">
      <w:pPr>
        <w:widowControl w:val="0"/>
        <w:tabs>
          <w:tab w:val="left" w:pos="10348"/>
        </w:tabs>
        <w:autoSpaceDE w:val="0"/>
        <w:autoSpaceDN w:val="0"/>
        <w:spacing w:before="1" w:after="0" w:line="264" w:lineRule="exact"/>
        <w:ind w:left="567" w:right="680"/>
        <w:jc w:val="both"/>
        <w:rPr>
          <w:rFonts w:ascii="Cambria" w:eastAsia="Cambria" w:hAnsi="Cambria" w:cs="Cambria"/>
          <w:b/>
          <w:color w:val="4F81BD"/>
          <w:sz w:val="28"/>
          <w:szCs w:val="28"/>
        </w:rPr>
      </w:pPr>
    </w:p>
    <w:p w:rsidR="00A956BD" w:rsidRPr="00A956BD" w:rsidRDefault="00A956BD" w:rsidP="00A956BD">
      <w:pPr>
        <w:keepNext/>
        <w:keepLines/>
        <w:numPr>
          <w:ilvl w:val="1"/>
          <w:numId w:val="0"/>
        </w:numPr>
        <w:spacing w:before="40" w:after="0"/>
        <w:ind w:left="1145" w:right="680" w:hanging="578"/>
        <w:outlineLvl w:val="1"/>
        <w:rPr>
          <w:rFonts w:asciiTheme="majorHAnsi" w:eastAsia="Cambria" w:hAnsiTheme="majorHAnsi" w:cstheme="majorBidi"/>
          <w:b/>
          <w:color w:val="1F4E79" w:themeColor="accent1" w:themeShade="80"/>
          <w:sz w:val="32"/>
          <w:szCs w:val="26"/>
        </w:rPr>
      </w:pPr>
      <w:bookmarkStart w:id="12" w:name="_Toc30755887"/>
      <w:r w:rsidRPr="00A956BD">
        <w:rPr>
          <w:rFonts w:asciiTheme="majorHAnsi" w:eastAsia="Cambria" w:hAnsiTheme="majorHAnsi" w:cstheme="majorBidi"/>
          <w:b/>
          <w:color w:val="1F4E79" w:themeColor="accent1" w:themeShade="80"/>
          <w:sz w:val="32"/>
          <w:szCs w:val="26"/>
        </w:rPr>
        <w:t>EASC Model Standing Orders</w:t>
      </w:r>
      <w:bookmarkEnd w:id="12"/>
      <w:r w:rsidRPr="00A956BD">
        <w:rPr>
          <w:rFonts w:asciiTheme="majorHAnsi" w:eastAsia="Cambria" w:hAnsiTheme="majorHAnsi" w:cstheme="majorBidi"/>
          <w:b/>
          <w:color w:val="1F4E79" w:themeColor="accent1" w:themeShade="80"/>
          <w:sz w:val="32"/>
          <w:szCs w:val="26"/>
        </w:rPr>
        <w:t xml:space="preserve">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 xml:space="preserve">These Model Standing Orders are issued by Welsh Ministers to Local Health Boards using powers of direction provided in section 12 (3) of the National Health Service (Wales) Act 2006. When agreeing SOs Local Health Boards must ensure they are made in accordance with directions as may be issued by Welsh Ministers. Each Local Health Board (LHB) in Wales must agree Standing Orders (SOs) for the regulation of the Emergency Ambulance Services Committee’s (the EASC or the Joint Committee) proceedings and business.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These EASC Standing Orders (EASC SOs) form a schedule to each LHB’s own Standing Orders, and have effect as if incorporated within them. They are designed to translate the statutory requirements set out in the Emergency Ambulance Services Committee (Wales) Regulations 2014 (2014 No.566 (w.67)) and LHB Standing Order 3 into day to day operating practice. Together with the adoption of a Schedule of decisions reserved to the Joint Committee; a Scheme of delegations to officers and others; and Standing Financial Instructions (SFIs), they provide the regulatory framework for the business conduct of the Joint Committee.</w:t>
      </w:r>
    </w:p>
    <w:p w:rsidR="00A956BD" w:rsidRPr="00A956BD" w:rsidRDefault="00A956BD" w:rsidP="00A956BD">
      <w:pPr>
        <w:ind w:left="567" w:right="680"/>
      </w:pPr>
    </w:p>
    <w:p w:rsidR="00A956BD" w:rsidRPr="00A956BD" w:rsidRDefault="00A956BD" w:rsidP="00A956BD">
      <w:pPr>
        <w:keepNext/>
        <w:keepLines/>
        <w:numPr>
          <w:ilvl w:val="2"/>
          <w:numId w:val="0"/>
        </w:numPr>
        <w:spacing w:before="40" w:after="0"/>
        <w:ind w:left="1287" w:right="680" w:hanging="720"/>
        <w:outlineLvl w:val="2"/>
        <w:rPr>
          <w:rFonts w:asciiTheme="majorHAnsi" w:eastAsiaTheme="majorEastAsia" w:hAnsiTheme="majorHAnsi" w:cstheme="majorBidi"/>
          <w:color w:val="1F4D78" w:themeColor="accent1" w:themeShade="7F"/>
          <w:sz w:val="28"/>
          <w:szCs w:val="24"/>
        </w:rPr>
      </w:pPr>
      <w:r w:rsidRPr="00A956BD">
        <w:rPr>
          <w:rFonts w:asciiTheme="majorHAnsi" w:eastAsiaTheme="majorEastAsia" w:hAnsiTheme="majorHAnsi" w:cstheme="majorBidi"/>
          <w:color w:val="1F4D78" w:themeColor="accent1" w:themeShade="7F"/>
          <w:sz w:val="28"/>
          <w:szCs w:val="24"/>
        </w:rPr>
        <w:t xml:space="preserve">EASC Governance Arrangements </w:t>
      </w:r>
    </w:p>
    <w:p w:rsidR="00A956BD" w:rsidRPr="00A956BD" w:rsidRDefault="00A956BD" w:rsidP="00A956BD">
      <w:pPr>
        <w:ind w:left="567" w:right="680"/>
      </w:pPr>
      <w:r w:rsidRPr="00A956BD">
        <w:t xml:space="preserve">As outlined in the EASC Model Standing Orders the responsibility for EASC will move from Cwm Taf UHB to the NCCU. In response to this change the NCCU will produce a governance programme of work to meet the requirements outline in the Model Standing Orders.  </w:t>
      </w:r>
    </w:p>
    <w:p w:rsidR="00A956BD" w:rsidRPr="00A956BD" w:rsidRDefault="00A956BD" w:rsidP="00A956BD">
      <w:pPr>
        <w:widowControl w:val="0"/>
        <w:tabs>
          <w:tab w:val="left" w:pos="9498"/>
        </w:tabs>
        <w:autoSpaceDE w:val="0"/>
        <w:autoSpaceDN w:val="0"/>
        <w:spacing w:after="0" w:line="240" w:lineRule="auto"/>
        <w:ind w:left="567" w:right="680"/>
        <w:rPr>
          <w:rFonts w:ascii="Calibri" w:eastAsia="Calibri" w:hAnsi="Calibri" w:cs="Calibri"/>
        </w:rPr>
      </w:pPr>
      <w:r w:rsidRPr="00A956BD">
        <w:object w:dxaOrig="11161" w:dyaOrig="55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2.2pt;height:246.7pt" o:ole="">
            <v:imagedata r:id="rId12" o:title=""/>
          </v:shape>
          <o:OLEObject Type="Embed" ProgID="Visio.Drawing.15" ShapeID="_x0000_i1025" DrawAspect="Content" ObjectID="_1644839167" r:id="rId13"/>
        </w:object>
      </w:r>
      <w:r w:rsidRPr="00A956BD">
        <w:rPr>
          <w:rFonts w:ascii="Calibri" w:eastAsia="Calibri" w:hAnsi="Calibri" w:cs="Calibri"/>
          <w:sz w:val="18"/>
          <w:szCs w:val="18"/>
        </w:rPr>
        <w:t xml:space="preserve">Figure 23: EASC Governance Arrangements </w:t>
      </w:r>
    </w:p>
    <w:p w:rsidR="00A956BD" w:rsidRPr="00A956BD" w:rsidRDefault="00A956BD" w:rsidP="00A956BD">
      <w:pPr>
        <w:widowControl w:val="0"/>
        <w:tabs>
          <w:tab w:val="left" w:pos="9498"/>
        </w:tabs>
        <w:autoSpaceDE w:val="0"/>
        <w:autoSpaceDN w:val="0"/>
        <w:spacing w:after="0" w:line="240" w:lineRule="auto"/>
        <w:ind w:left="567" w:right="680"/>
        <w:rPr>
          <w:rFonts w:ascii="Calibri" w:eastAsia="Calibri" w:hAnsi="Calibri" w:cs="Calibri"/>
        </w:rPr>
      </w:pPr>
    </w:p>
    <w:p w:rsidR="00A956BD" w:rsidRPr="00A956BD" w:rsidRDefault="00A956BD" w:rsidP="00A956BD">
      <w:pPr>
        <w:keepNext/>
        <w:keepLines/>
        <w:numPr>
          <w:ilvl w:val="2"/>
          <w:numId w:val="0"/>
        </w:numPr>
        <w:spacing w:before="40" w:after="0"/>
        <w:ind w:left="1287" w:right="680" w:hanging="720"/>
        <w:outlineLvl w:val="2"/>
        <w:rPr>
          <w:rFonts w:asciiTheme="majorHAnsi" w:eastAsia="Cambria" w:hAnsiTheme="majorHAnsi" w:cstheme="majorBidi"/>
          <w:i/>
          <w:color w:val="1F4D78" w:themeColor="accent1" w:themeShade="7F"/>
          <w:sz w:val="28"/>
          <w:szCs w:val="24"/>
        </w:rPr>
      </w:pPr>
      <w:r w:rsidRPr="00A956BD">
        <w:rPr>
          <w:rFonts w:asciiTheme="majorHAnsi" w:eastAsia="Cambria" w:hAnsiTheme="majorHAnsi" w:cstheme="majorBidi"/>
          <w:color w:val="1F4D78" w:themeColor="accent1" w:themeShade="7F"/>
          <w:sz w:val="28"/>
          <w:szCs w:val="24"/>
        </w:rPr>
        <w:t xml:space="preserve">EASC Committee Secretariat </w:t>
      </w:r>
    </w:p>
    <w:p w:rsidR="00A956BD" w:rsidRPr="00A956BD" w:rsidRDefault="00A956BD" w:rsidP="00A956BD">
      <w:pPr>
        <w:widowControl w:val="0"/>
        <w:tabs>
          <w:tab w:val="left" w:pos="9498"/>
        </w:tabs>
        <w:autoSpaceDE w:val="0"/>
        <w:autoSpaceDN w:val="0"/>
        <w:spacing w:after="0" w:line="240" w:lineRule="auto"/>
        <w:ind w:left="567" w:right="680"/>
        <w:rPr>
          <w:rFonts w:ascii="Calibri" w:eastAsia="Calibri" w:hAnsi="Calibri" w:cs="Calibri"/>
        </w:rPr>
      </w:pPr>
      <w:r w:rsidRPr="00A956BD">
        <w:rPr>
          <w:rFonts w:ascii="Calibri" w:eastAsia="Calibri" w:hAnsi="Calibri" w:cs="Calibri"/>
        </w:rPr>
        <w:t xml:space="preserve">NCCU will take responsibility from CTUHB corporate directorate for the EASC Committee Secretariat. NCCU will maintain the structures to ensure effective functioning of the EASC subcommittees in </w:t>
      </w:r>
      <w:r w:rsidRPr="00A956BD">
        <w:rPr>
          <w:rFonts w:ascii="Calibri" w:eastAsia="Calibri" w:hAnsi="Calibri" w:cs="Calibri"/>
        </w:rPr>
        <w:lastRenderedPageBreak/>
        <w:t xml:space="preserve">relation to EMS, NEPTS &amp; EMRTS. The structure and groups are outlined below: </w:t>
      </w:r>
    </w:p>
    <w:p w:rsidR="00A956BD" w:rsidRPr="00A956BD" w:rsidRDefault="00A956BD" w:rsidP="00A956BD">
      <w:pPr>
        <w:widowControl w:val="0"/>
        <w:tabs>
          <w:tab w:val="left" w:pos="9498"/>
        </w:tabs>
        <w:autoSpaceDE w:val="0"/>
        <w:autoSpaceDN w:val="0"/>
        <w:spacing w:after="0" w:line="240" w:lineRule="auto"/>
        <w:ind w:left="567" w:right="680"/>
        <w:rPr>
          <w:rFonts w:ascii="Calibri" w:eastAsia="Calibri" w:hAnsi="Calibri" w:cs="Calibri"/>
        </w:rPr>
      </w:pPr>
    </w:p>
    <w:p w:rsidR="00A956BD" w:rsidRPr="00A956BD" w:rsidRDefault="00A956BD" w:rsidP="00A956BD">
      <w:pPr>
        <w:widowControl w:val="0"/>
        <w:tabs>
          <w:tab w:val="left" w:pos="9498"/>
        </w:tabs>
        <w:autoSpaceDE w:val="0"/>
        <w:autoSpaceDN w:val="0"/>
        <w:spacing w:after="0" w:line="240" w:lineRule="auto"/>
        <w:ind w:left="567" w:right="680"/>
        <w:rPr>
          <w:rFonts w:ascii="Calibri" w:eastAsia="Calibri" w:hAnsi="Calibri" w:cs="Calibri"/>
        </w:rPr>
      </w:pPr>
      <w:r w:rsidRPr="00A956BD">
        <w:rPr>
          <w:rFonts w:ascii="Calibri" w:eastAsia="Calibri" w:hAnsi="Calibri" w:cs="Calibri"/>
          <w:noProof/>
          <w:lang w:eastAsia="en-GB"/>
        </w:rPr>
        <mc:AlternateContent>
          <mc:Choice Requires="wps">
            <w:drawing>
              <wp:anchor distT="45720" distB="45720" distL="114300" distR="114300" simplePos="0" relativeHeight="251667456" behindDoc="1" locked="0" layoutInCell="1" allowOverlap="1" wp14:anchorId="77D52B7A" wp14:editId="47F1D324">
                <wp:simplePos x="0" y="0"/>
                <wp:positionH relativeFrom="margin">
                  <wp:posOffset>3842013</wp:posOffset>
                </wp:positionH>
                <wp:positionV relativeFrom="paragraph">
                  <wp:posOffset>1014886</wp:posOffset>
                </wp:positionV>
                <wp:extent cx="2826328" cy="1404620"/>
                <wp:effectExtent l="0" t="0" r="0" b="9525"/>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6328" cy="1404620"/>
                        </a:xfrm>
                        <a:prstGeom prst="rect">
                          <a:avLst/>
                        </a:prstGeom>
                        <a:solidFill>
                          <a:srgbClr val="FFFFFF"/>
                        </a:solidFill>
                        <a:ln w="9525">
                          <a:noFill/>
                          <a:miter lim="800000"/>
                          <a:headEnd/>
                          <a:tailEnd/>
                        </a:ln>
                      </wps:spPr>
                      <wps:txbx>
                        <w:txbxContent>
                          <w:p w:rsidR="00A956BD" w:rsidRPr="00444F1D" w:rsidRDefault="00A956BD" w:rsidP="00A956BD">
                            <w:pPr>
                              <w:rPr>
                                <w:sz w:val="18"/>
                                <w:szCs w:val="18"/>
                              </w:rPr>
                            </w:pPr>
                            <w:r w:rsidRPr="00444F1D">
                              <w:rPr>
                                <w:sz w:val="18"/>
                                <w:szCs w:val="18"/>
                              </w:rPr>
                              <w:t>Figure 2</w:t>
                            </w:r>
                            <w:r>
                              <w:rPr>
                                <w:sz w:val="18"/>
                                <w:szCs w:val="18"/>
                              </w:rPr>
                              <w:t>4</w:t>
                            </w:r>
                            <w:r w:rsidRPr="00444F1D">
                              <w:rPr>
                                <w:sz w:val="18"/>
                                <w:szCs w:val="18"/>
                              </w:rPr>
                              <w:t xml:space="preserve">: EASC </w:t>
                            </w:r>
                            <w:r>
                              <w:rPr>
                                <w:sz w:val="18"/>
                                <w:szCs w:val="18"/>
                              </w:rPr>
                              <w:t xml:space="preserve">Subgroups &amp; </w:t>
                            </w:r>
                            <w:r w:rsidRPr="00444F1D">
                              <w:rPr>
                                <w:sz w:val="18"/>
                                <w:szCs w:val="18"/>
                              </w:rPr>
                              <w:t>reporting routes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7D52B7A" id="_x0000_t202" coordsize="21600,21600" o:spt="202" path="m,l,21600r21600,l21600,xe">
                <v:stroke joinstyle="miter"/>
                <v:path gradientshapeok="t" o:connecttype="rect"/>
              </v:shapetype>
              <v:shape id="Text Box 2" o:spid="_x0000_s1026" type="#_x0000_t202" style="position:absolute;left:0;text-align:left;margin-left:302.5pt;margin-top:79.9pt;width:222.55pt;height:110.6pt;z-index:-25164902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" stroked="f">
                <v:textbox style="mso-fit-shape-to-text:t">
                  <w:txbxContent>
                    <w:p w:rsidR="00A956BD" w:rsidRPr="00444F1D" w:rsidRDefault="00A956BD" w:rsidP="00A956BD">
                      <w:pPr>
                        <w:rPr>
                          <w:sz w:val="18"/>
                          <w:szCs w:val="18"/>
                        </w:rPr>
                      </w:pPr>
                      <w:r w:rsidRPr="00444F1D">
                        <w:rPr>
                          <w:sz w:val="18"/>
                          <w:szCs w:val="18"/>
                        </w:rPr>
                        <w:t>Figure 2</w:t>
                      </w:r>
                      <w:r>
                        <w:rPr>
                          <w:sz w:val="18"/>
                          <w:szCs w:val="18"/>
                        </w:rPr>
                        <w:t>4</w:t>
                      </w:r>
                      <w:r w:rsidRPr="00444F1D">
                        <w:rPr>
                          <w:sz w:val="18"/>
                          <w:szCs w:val="18"/>
                        </w:rPr>
                        <w:t xml:space="preserve">: EASC </w:t>
                      </w:r>
                      <w:r>
                        <w:rPr>
                          <w:sz w:val="18"/>
                          <w:szCs w:val="18"/>
                        </w:rPr>
                        <w:t xml:space="preserve">Subgroups &amp; </w:t>
                      </w:r>
                      <w:r w:rsidRPr="00444F1D">
                        <w:rPr>
                          <w:sz w:val="18"/>
                          <w:szCs w:val="18"/>
                        </w:rPr>
                        <w:t>reporting routes</w:t>
                      </w:r>
                    </w:p>
                  </w:txbxContent>
                </v:textbox>
                <w10:wrap anchorx="margin"/>
              </v:shape>
            </w:pict>
          </mc:Fallback>
        </mc:AlternateContent>
      </w:r>
      <w:r w:rsidRPr="00A956BD">
        <w:rPr>
          <w:rFonts w:ascii="Verdana" w:eastAsia="Times New Roman" w:hAnsi="Verdana" w:cs="Verdana"/>
          <w:noProof/>
          <w:color w:val="000000"/>
          <w:sz w:val="24"/>
          <w:szCs w:val="24"/>
          <w:lang w:eastAsia="en-GB"/>
        </w:rPr>
        <w:drawing>
          <wp:inline distT="0" distB="0" distL="0" distR="0" wp14:anchorId="233DF49B" wp14:editId="1ADDA0B3">
            <wp:extent cx="5274310" cy="1308478"/>
            <wp:effectExtent l="0" t="0" r="2540" b="635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4310" cy="1308478"/>
                    </a:xfrm>
                    <a:prstGeom prst="rect">
                      <a:avLst/>
                    </a:prstGeom>
                    <a:noFill/>
                  </pic:spPr>
                </pic:pic>
              </a:graphicData>
            </a:graphic>
          </wp:inline>
        </w:drawing>
      </w:r>
      <w:r w:rsidRPr="00A956BD">
        <w:rPr>
          <w:rFonts w:ascii="Calibri" w:eastAsia="Calibri" w:hAnsi="Calibri" w:cs="Calibri"/>
        </w:rPr>
        <w:tab/>
      </w:r>
    </w:p>
    <w:p w:rsidR="00A956BD" w:rsidRPr="00A956BD" w:rsidRDefault="00A956BD" w:rsidP="00A956BD">
      <w:pPr>
        <w:widowControl w:val="0"/>
        <w:tabs>
          <w:tab w:val="left" w:pos="9498"/>
        </w:tabs>
        <w:autoSpaceDE w:val="0"/>
        <w:autoSpaceDN w:val="0"/>
        <w:spacing w:after="0" w:line="240" w:lineRule="auto"/>
        <w:ind w:left="567" w:right="680"/>
        <w:jc w:val="center"/>
        <w:rPr>
          <w:rFonts w:ascii="Calibri" w:eastAsia="Calibri" w:hAnsi="Calibri" w:cs="Calibri"/>
        </w:rPr>
      </w:pPr>
    </w:p>
    <w:p w:rsidR="00A956BD" w:rsidRPr="00A956BD" w:rsidRDefault="00A956BD" w:rsidP="00A956BD">
      <w:pPr>
        <w:ind w:left="567" w:right="680"/>
      </w:pPr>
    </w:p>
    <w:p w:rsidR="00A956BD" w:rsidRPr="00A956BD" w:rsidRDefault="00A956BD" w:rsidP="00A956BD">
      <w:pPr>
        <w:keepNext/>
        <w:keepLines/>
        <w:numPr>
          <w:ilvl w:val="2"/>
          <w:numId w:val="0"/>
        </w:numPr>
        <w:spacing w:before="40" w:after="0"/>
        <w:ind w:left="1287" w:right="680" w:hanging="720"/>
        <w:outlineLvl w:val="2"/>
        <w:rPr>
          <w:rFonts w:asciiTheme="majorHAnsi" w:eastAsia="Cambria" w:hAnsiTheme="majorHAnsi" w:cstheme="majorBidi"/>
          <w:color w:val="1F4D78" w:themeColor="accent1" w:themeShade="7F"/>
          <w:sz w:val="28"/>
          <w:szCs w:val="24"/>
        </w:rPr>
      </w:pPr>
      <w:r w:rsidRPr="00A956BD">
        <w:rPr>
          <w:rFonts w:asciiTheme="majorHAnsi" w:eastAsia="Cambria" w:hAnsiTheme="majorHAnsi" w:cstheme="majorBidi"/>
          <w:color w:val="1F4D78" w:themeColor="accent1" w:themeShade="7F"/>
          <w:sz w:val="28"/>
          <w:szCs w:val="24"/>
        </w:rPr>
        <w:t>EASC Integrated Medium Term Plan</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 xml:space="preserve">We will continue to develop an NCCU EASC IMTP submission in line with Welsh Government planning guidance. We will work collaboratively to ensure that the policy leads for the sections of our plan within Welsh Government are sighted through the development process.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keepNext/>
        <w:keepLines/>
        <w:numPr>
          <w:ilvl w:val="2"/>
          <w:numId w:val="0"/>
        </w:numPr>
        <w:spacing w:before="40" w:after="0"/>
        <w:ind w:left="1287" w:right="680" w:hanging="720"/>
        <w:outlineLvl w:val="2"/>
        <w:rPr>
          <w:rFonts w:asciiTheme="majorHAnsi" w:eastAsia="Cambria" w:hAnsiTheme="majorHAnsi" w:cstheme="majorBidi"/>
          <w:color w:val="1F4D78" w:themeColor="accent1" w:themeShade="7F"/>
          <w:sz w:val="28"/>
          <w:szCs w:val="24"/>
        </w:rPr>
      </w:pPr>
      <w:r w:rsidRPr="00A956BD">
        <w:rPr>
          <w:rFonts w:asciiTheme="majorHAnsi" w:eastAsia="Cambria" w:hAnsiTheme="majorHAnsi" w:cstheme="majorBidi"/>
          <w:color w:val="1F4D78" w:themeColor="accent1" w:themeShade="7F"/>
          <w:sz w:val="28"/>
          <w:szCs w:val="24"/>
        </w:rPr>
        <w:t>EASC Risk Management Framework</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 xml:space="preserve">EASC as a commissioning body has an approved IMTP 2019-2022. The IMTP lays out in detail the existing and planned activity for EASC commissioned services and the National Programme for Unscheduled Care (NPUC).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 xml:space="preserve">The Chair of EASC, has had his objectives for 2020/20 agreed by the Minister for Health and Social Care. Core to these are the delivery of EASC &amp; WAST IMTP actions and the closer alignment between the work of EASC and NPUC. </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noProof/>
          <w:lang w:eastAsia="en-GB"/>
        </w:rPr>
        <w:drawing>
          <wp:anchor distT="0" distB="0" distL="114300" distR="114300" simplePos="0" relativeHeight="251665408" behindDoc="0" locked="0" layoutInCell="1" allowOverlap="1" wp14:anchorId="436AA3F5" wp14:editId="6D20B8EE">
            <wp:simplePos x="0" y="0"/>
            <wp:positionH relativeFrom="margin">
              <wp:align>right</wp:align>
            </wp:positionH>
            <wp:positionV relativeFrom="paragraph">
              <wp:posOffset>232996</wp:posOffset>
            </wp:positionV>
            <wp:extent cx="3755390" cy="2834640"/>
            <wp:effectExtent l="0" t="0" r="0" b="3810"/>
            <wp:wrapSquare wrapText="bothSides"/>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55390" cy="2834640"/>
                    </a:xfrm>
                    <a:prstGeom prst="rect">
                      <a:avLst/>
                    </a:prstGeom>
                    <a:noFill/>
                  </pic:spPr>
                </pic:pic>
              </a:graphicData>
            </a:graphic>
          </wp:anchor>
        </w:drawing>
      </w:r>
      <w:r w:rsidRPr="00A956BD">
        <w:rPr>
          <w:rFonts w:ascii="Calibri" w:eastAsia="Calibri" w:hAnsi="Calibri" w:cs="Calibri"/>
        </w:rPr>
        <w:t>An effective approach to risk management is required to provide assurance to the committee that risks and opportunities in relation to the strategic objectives of EASC are:</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1.</w:t>
      </w:r>
      <w:r w:rsidRPr="00A956BD">
        <w:rPr>
          <w:rFonts w:ascii="Calibri" w:eastAsia="Calibri" w:hAnsi="Calibri" w:cs="Calibri"/>
        </w:rPr>
        <w:tab/>
        <w:t>Identified</w:t>
      </w:r>
    </w:p>
    <w:p w:rsidR="00A956BD" w:rsidRPr="00A956BD" w:rsidRDefault="00A956BD" w:rsidP="00A956BD">
      <w:pPr>
        <w:widowControl w:val="0"/>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2.</w:t>
      </w:r>
      <w:r w:rsidRPr="00A956BD">
        <w:rPr>
          <w:rFonts w:ascii="Calibri" w:eastAsia="Calibri" w:hAnsi="Calibri" w:cs="Calibri"/>
        </w:rPr>
        <w:tab/>
        <w:t xml:space="preserve">Assessed </w:t>
      </w:r>
    </w:p>
    <w:p w:rsidR="00A956BD" w:rsidRPr="00A956BD" w:rsidRDefault="00A956BD" w:rsidP="00A956BD">
      <w:pPr>
        <w:widowControl w:val="0"/>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3.</w:t>
      </w:r>
      <w:r w:rsidRPr="00A956BD">
        <w:rPr>
          <w:rFonts w:ascii="Calibri" w:eastAsia="Calibri" w:hAnsi="Calibri" w:cs="Calibri"/>
        </w:rPr>
        <w:tab/>
        <w:t xml:space="preserve">Planned </w:t>
      </w:r>
    </w:p>
    <w:p w:rsidR="00A956BD" w:rsidRPr="00A956BD" w:rsidRDefault="00A956BD" w:rsidP="00A956BD">
      <w:pPr>
        <w:widowControl w:val="0"/>
        <w:autoSpaceDE w:val="0"/>
        <w:autoSpaceDN w:val="0"/>
        <w:spacing w:after="0" w:line="240" w:lineRule="auto"/>
        <w:ind w:left="1134" w:right="680" w:hanging="283"/>
        <w:jc w:val="both"/>
        <w:rPr>
          <w:rFonts w:ascii="Calibri" w:eastAsia="Calibri" w:hAnsi="Calibri" w:cs="Calibri"/>
        </w:rPr>
      </w:pPr>
      <w:r w:rsidRPr="00A956BD">
        <w:rPr>
          <w:rFonts w:ascii="Calibri" w:eastAsia="Calibri" w:hAnsi="Calibri" w:cs="Calibri"/>
        </w:rPr>
        <w:t>4.</w:t>
      </w:r>
      <w:r w:rsidRPr="00A956BD">
        <w:rPr>
          <w:rFonts w:ascii="Calibri" w:eastAsia="Calibri" w:hAnsi="Calibri" w:cs="Calibri"/>
        </w:rPr>
        <w:tab/>
        <w:t>Implemented</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r w:rsidRPr="00A956BD">
        <w:rPr>
          <w:rFonts w:ascii="Calibri" w:eastAsia="Calibri" w:hAnsi="Calibri" w:cs="Calibri"/>
        </w:rPr>
        <w:t>The development of an integrated risk management framework for EASC seeks to strengthen the control environment and sustain good corporate governance, implement effective internal controls and monitoring activities which support the running of EASC and the delivery of strategic commissioning plans.</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ind w:left="567" w:right="680"/>
        <w:jc w:val="right"/>
        <w:rPr>
          <w:rFonts w:ascii="Cambria" w:eastAsia="Cambria" w:hAnsi="Cambria" w:cs="Cambria"/>
          <w:color w:val="243F60"/>
          <w:sz w:val="28"/>
          <w:szCs w:val="28"/>
          <w:vertAlign w:val="superscript"/>
        </w:rPr>
      </w:pPr>
      <w:r w:rsidRPr="00A956BD">
        <w:rPr>
          <w:sz w:val="18"/>
          <w:szCs w:val="18"/>
        </w:rPr>
        <w:t>Figure 25: EASC Risk Management Framework</w:t>
      </w:r>
    </w:p>
    <w:p w:rsidR="00A956BD" w:rsidRPr="00A956BD" w:rsidRDefault="00A956BD" w:rsidP="00A956BD">
      <w:pPr>
        <w:keepNext/>
        <w:keepLines/>
        <w:numPr>
          <w:ilvl w:val="2"/>
          <w:numId w:val="0"/>
        </w:numPr>
        <w:spacing w:before="40" w:after="0"/>
        <w:ind w:left="1287" w:right="680" w:hanging="720"/>
        <w:outlineLvl w:val="2"/>
        <w:rPr>
          <w:rFonts w:asciiTheme="majorHAnsi" w:eastAsia="Cambria" w:hAnsiTheme="majorHAnsi" w:cstheme="majorBidi"/>
          <w:color w:val="1F4D78" w:themeColor="accent1" w:themeShade="7F"/>
          <w:sz w:val="28"/>
          <w:szCs w:val="24"/>
        </w:rPr>
      </w:pPr>
      <w:r w:rsidRPr="00A956BD">
        <w:rPr>
          <w:rFonts w:asciiTheme="majorHAnsi" w:eastAsia="Cambria" w:hAnsiTheme="majorHAnsi" w:cstheme="majorBidi"/>
          <w:color w:val="1F4D78" w:themeColor="accent1" w:themeShade="7F"/>
          <w:sz w:val="28"/>
          <w:szCs w:val="24"/>
        </w:rPr>
        <w:t>Implementation of Audit Findings</w:t>
      </w:r>
    </w:p>
    <w:p w:rsidR="00A956BD" w:rsidRPr="00A956BD" w:rsidRDefault="00A956BD" w:rsidP="00A956BD">
      <w:pPr>
        <w:widowControl w:val="0"/>
        <w:autoSpaceDE w:val="0"/>
        <w:autoSpaceDN w:val="0"/>
        <w:spacing w:before="1" w:after="0" w:line="237" w:lineRule="auto"/>
        <w:ind w:left="567" w:right="680"/>
        <w:jc w:val="both"/>
        <w:rPr>
          <w:rFonts w:ascii="Calibri" w:eastAsia="Calibri" w:hAnsi="Calibri" w:cs="Calibri"/>
        </w:rPr>
      </w:pPr>
      <w:r w:rsidRPr="00A956BD">
        <w:rPr>
          <w:rFonts w:ascii="Calibri" w:eastAsia="Calibri" w:hAnsi="Calibri" w:cs="Calibri"/>
        </w:rPr>
        <w:t>In</w:t>
      </w:r>
      <w:r w:rsidRPr="00A956BD">
        <w:rPr>
          <w:rFonts w:ascii="Calibri" w:eastAsia="Calibri" w:hAnsi="Calibri" w:cs="Calibri"/>
          <w:spacing w:val="-13"/>
        </w:rPr>
        <w:t xml:space="preserve"> </w:t>
      </w:r>
      <w:r w:rsidRPr="00A956BD">
        <w:rPr>
          <w:rFonts w:ascii="Calibri" w:eastAsia="Calibri" w:hAnsi="Calibri" w:cs="Calibri"/>
        </w:rPr>
        <w:t>July</w:t>
      </w:r>
      <w:r w:rsidRPr="00A956BD">
        <w:rPr>
          <w:rFonts w:ascii="Calibri" w:eastAsia="Calibri" w:hAnsi="Calibri" w:cs="Calibri"/>
          <w:spacing w:val="-14"/>
        </w:rPr>
        <w:t xml:space="preserve"> </w:t>
      </w:r>
      <w:r w:rsidRPr="00A956BD">
        <w:rPr>
          <w:rFonts w:ascii="Calibri" w:eastAsia="Calibri" w:hAnsi="Calibri" w:cs="Calibri"/>
        </w:rPr>
        <w:t>2017</w:t>
      </w:r>
      <w:r w:rsidRPr="00A956BD">
        <w:rPr>
          <w:rFonts w:ascii="Calibri" w:eastAsia="Calibri" w:hAnsi="Calibri" w:cs="Calibri"/>
          <w:spacing w:val="-14"/>
        </w:rPr>
        <w:t xml:space="preserve"> </w:t>
      </w:r>
      <w:r w:rsidRPr="00A956BD">
        <w:rPr>
          <w:rFonts w:ascii="Calibri" w:eastAsia="Calibri" w:hAnsi="Calibri" w:cs="Calibri"/>
        </w:rPr>
        <w:t>the</w:t>
      </w:r>
      <w:r w:rsidRPr="00A956BD">
        <w:rPr>
          <w:rFonts w:ascii="Calibri" w:eastAsia="Calibri" w:hAnsi="Calibri" w:cs="Calibri"/>
          <w:spacing w:val="-14"/>
        </w:rPr>
        <w:t xml:space="preserve"> </w:t>
      </w:r>
      <w:r w:rsidRPr="00A956BD">
        <w:rPr>
          <w:rFonts w:ascii="Calibri" w:eastAsia="Calibri" w:hAnsi="Calibri" w:cs="Calibri"/>
        </w:rPr>
        <w:t>Auditor</w:t>
      </w:r>
      <w:r w:rsidRPr="00A956BD">
        <w:rPr>
          <w:rFonts w:ascii="Calibri" w:eastAsia="Calibri" w:hAnsi="Calibri" w:cs="Calibri"/>
          <w:spacing w:val="-15"/>
        </w:rPr>
        <w:t xml:space="preserve"> </w:t>
      </w:r>
      <w:r w:rsidRPr="00A956BD">
        <w:rPr>
          <w:rFonts w:ascii="Calibri" w:eastAsia="Calibri" w:hAnsi="Calibri" w:cs="Calibri"/>
        </w:rPr>
        <w:t>General</w:t>
      </w:r>
      <w:r w:rsidRPr="00A956BD">
        <w:rPr>
          <w:rFonts w:ascii="Calibri" w:eastAsia="Calibri" w:hAnsi="Calibri" w:cs="Calibri"/>
          <w:spacing w:val="-13"/>
        </w:rPr>
        <w:t xml:space="preserve"> </w:t>
      </w:r>
      <w:r w:rsidRPr="00A956BD">
        <w:rPr>
          <w:rFonts w:ascii="Calibri" w:eastAsia="Calibri" w:hAnsi="Calibri" w:cs="Calibri"/>
        </w:rPr>
        <w:t>published</w:t>
      </w:r>
      <w:r w:rsidRPr="00A956BD">
        <w:rPr>
          <w:rFonts w:ascii="Calibri" w:eastAsia="Calibri" w:hAnsi="Calibri" w:cs="Calibri"/>
          <w:spacing w:val="-13"/>
        </w:rPr>
        <w:t xml:space="preserve"> </w:t>
      </w:r>
      <w:r w:rsidRPr="00A956BD">
        <w:rPr>
          <w:rFonts w:ascii="Calibri" w:eastAsia="Calibri" w:hAnsi="Calibri" w:cs="Calibri"/>
        </w:rPr>
        <w:t>the</w:t>
      </w:r>
      <w:r w:rsidRPr="00A956BD">
        <w:rPr>
          <w:rFonts w:ascii="Calibri" w:eastAsia="Calibri" w:hAnsi="Calibri" w:cs="Calibri"/>
          <w:spacing w:val="-12"/>
        </w:rPr>
        <w:t xml:space="preserve"> </w:t>
      </w:r>
      <w:r w:rsidRPr="00A956BD">
        <w:rPr>
          <w:rFonts w:ascii="Calibri" w:eastAsia="Calibri" w:hAnsi="Calibri" w:cs="Calibri"/>
        </w:rPr>
        <w:t>National</w:t>
      </w:r>
      <w:r w:rsidRPr="00A956BD">
        <w:rPr>
          <w:rFonts w:ascii="Calibri" w:eastAsia="Calibri" w:hAnsi="Calibri" w:cs="Calibri"/>
          <w:spacing w:val="-12"/>
        </w:rPr>
        <w:t xml:space="preserve"> </w:t>
      </w:r>
      <w:r w:rsidRPr="00A956BD">
        <w:rPr>
          <w:rFonts w:ascii="Calibri" w:eastAsia="Calibri" w:hAnsi="Calibri" w:cs="Calibri"/>
        </w:rPr>
        <w:t>Audit</w:t>
      </w:r>
      <w:r w:rsidRPr="00A956BD">
        <w:rPr>
          <w:rFonts w:ascii="Calibri" w:eastAsia="Calibri" w:hAnsi="Calibri" w:cs="Calibri"/>
          <w:spacing w:val="-12"/>
        </w:rPr>
        <w:t xml:space="preserve"> </w:t>
      </w:r>
      <w:r w:rsidRPr="00A956BD">
        <w:rPr>
          <w:rFonts w:ascii="Calibri" w:eastAsia="Calibri" w:hAnsi="Calibri" w:cs="Calibri"/>
        </w:rPr>
        <w:t>Office</w:t>
      </w:r>
      <w:r w:rsidRPr="00A956BD">
        <w:rPr>
          <w:rFonts w:ascii="Calibri" w:eastAsia="Calibri" w:hAnsi="Calibri" w:cs="Calibri"/>
          <w:spacing w:val="-14"/>
        </w:rPr>
        <w:t xml:space="preserve"> </w:t>
      </w:r>
      <w:r w:rsidRPr="00A956BD">
        <w:rPr>
          <w:rFonts w:ascii="Calibri" w:eastAsia="Calibri" w:hAnsi="Calibri" w:cs="Calibri"/>
        </w:rPr>
        <w:t>Review</w:t>
      </w:r>
      <w:r w:rsidRPr="00A956BD">
        <w:rPr>
          <w:rFonts w:ascii="Calibri" w:eastAsia="Calibri" w:hAnsi="Calibri" w:cs="Calibri"/>
          <w:spacing w:val="-15"/>
        </w:rPr>
        <w:t xml:space="preserve"> </w:t>
      </w:r>
      <w:r w:rsidRPr="00A956BD">
        <w:rPr>
          <w:rFonts w:ascii="Calibri" w:eastAsia="Calibri" w:hAnsi="Calibri" w:cs="Calibri"/>
        </w:rPr>
        <w:t>of</w:t>
      </w:r>
      <w:r w:rsidRPr="00A956BD">
        <w:rPr>
          <w:rFonts w:ascii="Calibri" w:eastAsia="Calibri" w:hAnsi="Calibri" w:cs="Calibri"/>
          <w:spacing w:val="-15"/>
        </w:rPr>
        <w:t xml:space="preserve"> </w:t>
      </w:r>
      <w:r w:rsidRPr="00A956BD">
        <w:rPr>
          <w:rFonts w:ascii="Calibri" w:eastAsia="Calibri" w:hAnsi="Calibri" w:cs="Calibri"/>
        </w:rPr>
        <w:t>Emergency</w:t>
      </w:r>
      <w:r w:rsidRPr="00A956BD">
        <w:rPr>
          <w:rFonts w:ascii="Calibri" w:eastAsia="Calibri" w:hAnsi="Calibri" w:cs="Calibri"/>
          <w:spacing w:val="-14"/>
        </w:rPr>
        <w:t xml:space="preserve"> </w:t>
      </w:r>
      <w:r w:rsidRPr="00A956BD">
        <w:rPr>
          <w:rFonts w:ascii="Calibri" w:eastAsia="Calibri" w:hAnsi="Calibri" w:cs="Calibri"/>
        </w:rPr>
        <w:t>Ambulance Services Commissioning Arrangements in Wales. One of the key recommendations identified in   the report</w:t>
      </w:r>
      <w:r w:rsidRPr="00A956BD">
        <w:rPr>
          <w:rFonts w:ascii="Calibri" w:eastAsia="Calibri" w:hAnsi="Calibri" w:cs="Calibri"/>
          <w:spacing w:val="13"/>
        </w:rPr>
        <w:t xml:space="preserve"> </w:t>
      </w:r>
      <w:r w:rsidRPr="00A956BD">
        <w:rPr>
          <w:rFonts w:ascii="Calibri" w:eastAsia="Calibri" w:hAnsi="Calibri" w:cs="Calibri"/>
        </w:rPr>
        <w:t>was:</w:t>
      </w:r>
    </w:p>
    <w:p w:rsidR="00A956BD" w:rsidRPr="00A956BD" w:rsidRDefault="00A956BD" w:rsidP="00A956BD">
      <w:pPr>
        <w:widowControl w:val="0"/>
        <w:autoSpaceDE w:val="0"/>
        <w:autoSpaceDN w:val="0"/>
        <w:spacing w:after="0" w:line="240" w:lineRule="auto"/>
        <w:ind w:left="567" w:right="680"/>
        <w:jc w:val="both"/>
        <w:rPr>
          <w:rFonts w:ascii="Calibri" w:eastAsia="Calibri" w:hAnsi="Calibri" w:cs="Calibri"/>
        </w:rPr>
      </w:pPr>
    </w:p>
    <w:p w:rsidR="00A956BD" w:rsidRPr="00A956BD" w:rsidRDefault="00A956BD" w:rsidP="00A956BD">
      <w:pPr>
        <w:widowControl w:val="0"/>
        <w:autoSpaceDE w:val="0"/>
        <w:autoSpaceDN w:val="0"/>
        <w:spacing w:after="0" w:line="264" w:lineRule="exact"/>
        <w:ind w:left="567" w:right="680"/>
        <w:jc w:val="both"/>
        <w:rPr>
          <w:rFonts w:ascii="Calibri" w:eastAsia="Calibri" w:hAnsi="Calibri" w:cs="Calibri"/>
        </w:rPr>
      </w:pPr>
      <w:bookmarkStart w:id="13" w:name="CASC_advice_to_on_EMS"/>
      <w:bookmarkEnd w:id="13"/>
      <w:r w:rsidRPr="00A956BD">
        <w:rPr>
          <w:rFonts w:ascii="Calibri" w:eastAsia="Calibri" w:hAnsi="Calibri" w:cs="Calibri"/>
        </w:rPr>
        <w:lastRenderedPageBreak/>
        <w:t>“The subgroup structure of EASC lacks clarity and purpose which is impacting on the ability of the subgroups to make a meaningful contribution to the commissioning agenda. EASC should urgently review the structures, roles and memberships of its three subgroups to ensure they are mutually exclusive, have a clear purpose and appropriately support the work of EASC.”</w:t>
      </w:r>
    </w:p>
    <w:p w:rsidR="00A956BD" w:rsidRPr="00A956BD" w:rsidRDefault="00A956BD" w:rsidP="00A956BD">
      <w:pPr>
        <w:widowControl w:val="0"/>
        <w:autoSpaceDE w:val="0"/>
        <w:autoSpaceDN w:val="0"/>
        <w:spacing w:after="0" w:line="264" w:lineRule="exact"/>
        <w:ind w:left="567" w:right="680"/>
        <w:jc w:val="both"/>
        <w:rPr>
          <w:rFonts w:ascii="Calibri" w:eastAsia="Calibri" w:hAnsi="Calibri" w:cs="Calibri"/>
        </w:rPr>
      </w:pPr>
    </w:p>
    <w:p w:rsidR="00A956BD" w:rsidRPr="00A956BD" w:rsidRDefault="00A956BD" w:rsidP="00A956BD">
      <w:pPr>
        <w:widowControl w:val="0"/>
        <w:autoSpaceDE w:val="0"/>
        <w:autoSpaceDN w:val="0"/>
        <w:spacing w:after="0" w:line="264" w:lineRule="exact"/>
        <w:ind w:left="567" w:right="680"/>
        <w:jc w:val="both"/>
        <w:rPr>
          <w:rFonts w:ascii="Calibri" w:eastAsia="Calibri" w:hAnsi="Calibri" w:cs="Calibri"/>
        </w:rPr>
      </w:pPr>
      <w:r w:rsidRPr="00A956BD">
        <w:rPr>
          <w:rFonts w:ascii="Calibri" w:eastAsia="Calibri" w:hAnsi="Calibri" w:cs="Calibri"/>
        </w:rPr>
        <w:t xml:space="preserve">The NCCU will work with WAST &amp; Health Board representatives to ensure the functioning of the subgroups listed in Figure 20 delivers against the recommendations. </w:t>
      </w:r>
    </w:p>
    <w:p w:rsidR="00A956BD" w:rsidRPr="00A956BD" w:rsidRDefault="00A956BD" w:rsidP="00A956BD">
      <w:pPr>
        <w:widowControl w:val="0"/>
        <w:tabs>
          <w:tab w:val="left" w:pos="10348"/>
        </w:tabs>
        <w:autoSpaceDE w:val="0"/>
        <w:autoSpaceDN w:val="0"/>
        <w:spacing w:after="0" w:line="264" w:lineRule="exact"/>
        <w:ind w:left="567" w:right="680"/>
        <w:jc w:val="both"/>
        <w:rPr>
          <w:rFonts w:ascii="Calibri" w:eastAsia="Calibri" w:hAnsi="Calibri" w:cs="Calibri"/>
        </w:rPr>
      </w:pPr>
    </w:p>
    <w:p w:rsidR="00A956BD" w:rsidRPr="00A956BD" w:rsidRDefault="00A956BD" w:rsidP="00A956BD">
      <w:pPr>
        <w:widowControl w:val="0"/>
        <w:tabs>
          <w:tab w:val="left" w:pos="10348"/>
        </w:tabs>
        <w:autoSpaceDE w:val="0"/>
        <w:autoSpaceDN w:val="0"/>
        <w:spacing w:after="0" w:line="264" w:lineRule="exact"/>
        <w:ind w:left="567" w:right="680"/>
        <w:jc w:val="both"/>
        <w:rPr>
          <w:rFonts w:ascii="Calibri" w:eastAsia="Calibri" w:hAnsi="Calibri" w:cs="Calibri"/>
        </w:rPr>
      </w:pPr>
      <w:r w:rsidRPr="00A956BD">
        <w:rPr>
          <w:rFonts w:ascii="Calibri" w:eastAsia="Calibri" w:hAnsi="Calibri" w:cs="Calibri"/>
        </w:rPr>
        <w:t xml:space="preserve">NCCU will work to implement the 2019 NEPTS Internal Audit Findings and will report progress through the NEPTS Delivery Assurance Group. </w:t>
      </w:r>
    </w:p>
    <w:p w:rsidR="00A956BD" w:rsidRPr="00A956BD" w:rsidRDefault="00A956BD" w:rsidP="00A956BD">
      <w:pPr>
        <w:widowControl w:val="0"/>
        <w:tabs>
          <w:tab w:val="left" w:pos="10348"/>
        </w:tabs>
        <w:autoSpaceDE w:val="0"/>
        <w:autoSpaceDN w:val="0"/>
        <w:spacing w:after="0" w:line="264" w:lineRule="exact"/>
        <w:ind w:left="567" w:right="680"/>
        <w:jc w:val="both"/>
        <w:rPr>
          <w:rFonts w:ascii="Calibri" w:eastAsia="Calibri" w:hAnsi="Calibri" w:cs="Calibri"/>
        </w:rPr>
      </w:pPr>
    </w:p>
    <w:p w:rsidR="00A956BD" w:rsidRPr="00A956BD" w:rsidRDefault="00A956BD" w:rsidP="00A956BD">
      <w:pPr>
        <w:keepNext/>
        <w:keepLines/>
        <w:numPr>
          <w:ilvl w:val="2"/>
          <w:numId w:val="0"/>
        </w:numPr>
        <w:spacing w:before="40" w:after="0"/>
        <w:ind w:left="1287" w:hanging="720"/>
        <w:outlineLvl w:val="2"/>
        <w:rPr>
          <w:rFonts w:asciiTheme="majorHAnsi" w:eastAsia="Calibri" w:hAnsiTheme="majorHAnsi" w:cstheme="majorBidi"/>
          <w:color w:val="1F4D78" w:themeColor="accent1" w:themeShade="7F"/>
          <w:sz w:val="28"/>
          <w:szCs w:val="24"/>
        </w:rPr>
      </w:pPr>
      <w:r w:rsidRPr="00A956BD">
        <w:rPr>
          <w:rFonts w:asciiTheme="majorHAnsi" w:eastAsia="Calibri" w:hAnsiTheme="majorHAnsi" w:cstheme="majorBidi"/>
          <w:color w:val="1F4D78" w:themeColor="accent1" w:themeShade="7F"/>
          <w:sz w:val="28"/>
          <w:szCs w:val="24"/>
        </w:rPr>
        <w:t xml:space="preserve">Implementation of EASC Governance Statement Actions. </w:t>
      </w:r>
    </w:p>
    <w:p w:rsidR="00A956BD" w:rsidRPr="00A956BD" w:rsidRDefault="00A956BD" w:rsidP="00A956BD">
      <w:pPr>
        <w:ind w:left="567"/>
      </w:pPr>
      <w:r w:rsidRPr="00A956BD">
        <w:t>EASC is required to produce an annual governance statement which is included as part of the annual account process. Actions contained within the governance statement are included in the delivery plan for EASC and progress is reported to the Joint Committee via the CASC report on a regular basis.</w:t>
      </w:r>
    </w:p>
    <w:p w:rsidR="00A956BD" w:rsidRPr="00A956BD" w:rsidRDefault="00A956BD" w:rsidP="00A956BD">
      <w:pPr>
        <w:widowControl w:val="0"/>
        <w:tabs>
          <w:tab w:val="left" w:pos="10348"/>
        </w:tabs>
        <w:autoSpaceDE w:val="0"/>
        <w:autoSpaceDN w:val="0"/>
        <w:spacing w:after="0" w:line="264" w:lineRule="exact"/>
        <w:ind w:left="567" w:right="680"/>
        <w:jc w:val="both"/>
        <w:rPr>
          <w:rFonts w:ascii="Calibri" w:eastAsia="Calibri" w:hAnsi="Calibri" w:cs="Calibri"/>
        </w:rPr>
      </w:pPr>
      <w:r w:rsidRPr="00A956BD">
        <w:rPr>
          <w:rFonts w:ascii="Calibri" w:eastAsia="Calibri" w:hAnsi="Calibri" w:cs="Calibri"/>
        </w:rPr>
        <w:t xml:space="preserve"> </w:t>
      </w:r>
    </w:p>
    <w:p w:rsidR="00A956BD" w:rsidRPr="00A956BD" w:rsidRDefault="00A956BD" w:rsidP="00A956BD">
      <w:pPr>
        <w:ind w:left="567" w:right="680"/>
      </w:pPr>
      <w:bookmarkStart w:id="14" w:name="EMS_Commissioning_Intentions"/>
      <w:bookmarkStart w:id="15" w:name="EASC_sub_committees"/>
      <w:bookmarkEnd w:id="14"/>
      <w:bookmarkEnd w:id="15"/>
      <w:r w:rsidRPr="00A956BD">
        <w:br w:type="page"/>
      </w:r>
    </w:p>
    <w:p w:rsidR="00A956BD" w:rsidRPr="00A956BD" w:rsidRDefault="00A956BD" w:rsidP="00A956BD">
      <w:pPr>
        <w:ind w:left="567" w:right="680"/>
        <w:sectPr w:rsidR="00A956BD" w:rsidRPr="00A956BD" w:rsidSect="00237E80">
          <w:pgSz w:w="11906" w:h="16838"/>
          <w:pgMar w:top="1004" w:right="849" w:bottom="1440" w:left="567" w:header="708" w:footer="708" w:gutter="0"/>
          <w:cols w:space="708"/>
          <w:docGrid w:linePitch="360"/>
        </w:sectPr>
      </w:pPr>
    </w:p>
    <w:p w:rsidR="00A956BD" w:rsidRPr="00A956BD" w:rsidRDefault="00A956BD" w:rsidP="00A956BD">
      <w:pPr>
        <w:keepNext/>
        <w:keepLines/>
        <w:numPr>
          <w:ilvl w:val="1"/>
          <w:numId w:val="0"/>
        </w:numPr>
        <w:spacing w:before="40" w:after="0"/>
        <w:ind w:left="1145" w:right="680" w:hanging="578"/>
        <w:outlineLvl w:val="1"/>
        <w:rPr>
          <w:rFonts w:asciiTheme="majorHAnsi" w:eastAsia="Cambria" w:hAnsiTheme="majorHAnsi" w:cstheme="majorBidi"/>
          <w:b/>
          <w:color w:val="1F4E79" w:themeColor="accent1" w:themeShade="80"/>
          <w:sz w:val="32"/>
          <w:szCs w:val="26"/>
        </w:rPr>
      </w:pPr>
      <w:bookmarkStart w:id="16" w:name="_Toc30755888"/>
      <w:r w:rsidRPr="00A956BD">
        <w:rPr>
          <w:rFonts w:asciiTheme="majorHAnsi" w:eastAsia="Cambria" w:hAnsiTheme="majorHAnsi" w:cstheme="majorBidi"/>
          <w:b/>
          <w:color w:val="1F4E79" w:themeColor="accent1" w:themeShade="80"/>
          <w:sz w:val="32"/>
          <w:szCs w:val="26"/>
        </w:rPr>
        <w:lastRenderedPageBreak/>
        <w:t>EASC Financial Values</w:t>
      </w:r>
      <w:bookmarkEnd w:id="16"/>
      <w:r w:rsidRPr="00A956BD">
        <w:rPr>
          <w:rFonts w:asciiTheme="majorHAnsi" w:eastAsia="Cambria" w:hAnsiTheme="majorHAnsi" w:cstheme="majorBidi"/>
          <w:b/>
          <w:color w:val="1F4E79" w:themeColor="accent1" w:themeShade="80"/>
          <w:sz w:val="32"/>
          <w:szCs w:val="26"/>
        </w:rPr>
        <w:t xml:space="preserve"> </w:t>
      </w:r>
    </w:p>
    <w:p w:rsidR="00A956BD" w:rsidRPr="00A956BD" w:rsidRDefault="00A956BD" w:rsidP="00A956BD">
      <w:pPr>
        <w:keepNext/>
        <w:keepLines/>
        <w:numPr>
          <w:ilvl w:val="2"/>
          <w:numId w:val="0"/>
        </w:numPr>
        <w:spacing w:before="40" w:after="0"/>
        <w:ind w:left="1287" w:right="680" w:hanging="720"/>
        <w:outlineLvl w:val="2"/>
        <w:rPr>
          <w:rFonts w:asciiTheme="majorHAnsi" w:eastAsiaTheme="majorEastAsia" w:hAnsiTheme="majorHAnsi" w:cstheme="majorBidi"/>
          <w:color w:val="1F4D78" w:themeColor="accent1" w:themeShade="7F"/>
          <w:sz w:val="28"/>
          <w:szCs w:val="24"/>
        </w:rPr>
      </w:pPr>
      <w:r w:rsidRPr="00A956BD">
        <w:rPr>
          <w:rFonts w:asciiTheme="majorHAnsi" w:eastAsiaTheme="majorEastAsia" w:hAnsiTheme="majorHAnsi" w:cstheme="majorBidi"/>
          <w:color w:val="1F4D78" w:themeColor="accent1" w:themeShade="7F"/>
          <w:sz w:val="28"/>
          <w:szCs w:val="24"/>
        </w:rPr>
        <w:t xml:space="preserve">EASC NCCU 2020/21 Summary Financial Values </w:t>
      </w:r>
      <w:r w:rsidRPr="00A956BD">
        <w:rPr>
          <w:rFonts w:asciiTheme="majorHAnsi" w:eastAsiaTheme="majorEastAsia" w:hAnsiTheme="majorHAnsi" w:cstheme="majorBidi"/>
          <w:color w:val="1F4D78" w:themeColor="accent1" w:themeShade="7F"/>
          <w:sz w:val="28"/>
          <w:szCs w:val="24"/>
        </w:rPr>
        <w:fldChar w:fldCharType="begin"/>
      </w:r>
      <w:r w:rsidRPr="00A956BD">
        <w:rPr>
          <w:rFonts w:asciiTheme="majorHAnsi" w:eastAsiaTheme="majorEastAsia" w:hAnsiTheme="majorHAnsi" w:cstheme="majorBidi"/>
          <w:color w:val="1F4D78" w:themeColor="accent1" w:themeShade="7F"/>
          <w:sz w:val="28"/>
          <w:szCs w:val="24"/>
        </w:rPr>
        <w:instrText xml:space="preserve"> LINK Excel.Sheet.12 "C:\\Users\\ja219694\\AppData\\Local\\Microsoft\\Windows\\Temporary Internet Files\\Content.Outlook\\S5Y5R822\\EASC IMTP DRAFT Financial Data Tables_20122019.xlsx" "EASC NCCU Summary!R1C1:R12C10" \a \f 4 \h  \* MERGEFORMAT </w:instrText>
      </w:r>
      <w:r w:rsidRPr="00A956BD">
        <w:rPr>
          <w:rFonts w:asciiTheme="majorHAnsi" w:eastAsiaTheme="majorEastAsia" w:hAnsiTheme="majorHAnsi" w:cstheme="majorBidi"/>
          <w:color w:val="1F4D78" w:themeColor="accent1" w:themeShade="7F"/>
          <w:sz w:val="28"/>
          <w:szCs w:val="24"/>
        </w:rPr>
        <w:fldChar w:fldCharType="separate"/>
      </w:r>
    </w:p>
    <w:p w:rsidR="00A956BD" w:rsidRPr="00A956BD" w:rsidRDefault="00A956BD" w:rsidP="00A956BD">
      <w:pPr>
        <w:ind w:left="567"/>
      </w:pPr>
      <w:r w:rsidRPr="00A956BD">
        <w:fldChar w:fldCharType="end"/>
      </w:r>
    </w:p>
    <w:tbl>
      <w:tblPr>
        <w:tblW w:w="5000" w:type="pct"/>
        <w:tblLook w:val="04A0" w:firstRow="1" w:lastRow="0" w:firstColumn="1" w:lastColumn="0" w:noHBand="0" w:noVBand="1"/>
      </w:tblPr>
      <w:tblGrid>
        <w:gridCol w:w="3330"/>
        <w:gridCol w:w="1341"/>
        <w:gridCol w:w="1341"/>
        <w:gridCol w:w="1341"/>
        <w:gridCol w:w="1341"/>
        <w:gridCol w:w="1341"/>
        <w:gridCol w:w="1341"/>
        <w:gridCol w:w="1341"/>
        <w:gridCol w:w="1343"/>
        <w:gridCol w:w="1341"/>
      </w:tblGrid>
      <w:tr w:rsidR="00A956BD" w:rsidRPr="00A956BD" w:rsidTr="00AD5EDD">
        <w:trPr>
          <w:trHeight w:val="300"/>
        </w:trPr>
        <w:tc>
          <w:tcPr>
            <w:tcW w:w="1218" w:type="pct"/>
            <w:vMerge w:val="restart"/>
            <w:tcBorders>
              <w:top w:val="single" w:sz="8" w:space="0" w:color="000000"/>
              <w:left w:val="single" w:sz="8" w:space="0" w:color="000000"/>
              <w:bottom w:val="nil"/>
              <w:right w:val="single" w:sz="8" w:space="0" w:color="000000"/>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xml:space="preserve">Emergency Ambulance Services Committee / </w:t>
            </w:r>
            <w:r w:rsidRPr="00A956BD">
              <w:rPr>
                <w:rFonts w:ascii="Calibri" w:eastAsia="Times New Roman" w:hAnsi="Calibri" w:cs="Times New Roman"/>
                <w:b/>
                <w:bCs/>
                <w:color w:val="D7B37E"/>
                <w:lang w:eastAsia="en-GB"/>
              </w:rPr>
              <w:br/>
              <w:t xml:space="preserve">National Collaborative Commissioning Unit </w:t>
            </w:r>
            <w:r w:rsidRPr="00A956BD">
              <w:rPr>
                <w:rFonts w:ascii="Calibri" w:eastAsia="Times New Roman" w:hAnsi="Calibri" w:cs="Times New Roman"/>
                <w:b/>
                <w:bCs/>
                <w:color w:val="D7B37E"/>
                <w:lang w:eastAsia="en-GB"/>
              </w:rPr>
              <w:br/>
              <w:t>2020/21 Summary</w:t>
            </w:r>
          </w:p>
        </w:tc>
        <w:tc>
          <w:tcPr>
            <w:tcW w:w="420" w:type="pct"/>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Swansea Bay UHB</w:t>
            </w:r>
          </w:p>
        </w:tc>
        <w:tc>
          <w:tcPr>
            <w:tcW w:w="420" w:type="pct"/>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Aneurin Bevan UHB</w:t>
            </w:r>
          </w:p>
        </w:tc>
        <w:tc>
          <w:tcPr>
            <w:tcW w:w="420" w:type="pct"/>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Betsi Cadwaladr UHB</w:t>
            </w:r>
          </w:p>
        </w:tc>
        <w:tc>
          <w:tcPr>
            <w:tcW w:w="420" w:type="pct"/>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Cardiff &amp; Vale UHB</w:t>
            </w:r>
          </w:p>
        </w:tc>
        <w:tc>
          <w:tcPr>
            <w:tcW w:w="420" w:type="pct"/>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Cwm Taf UHB</w:t>
            </w:r>
          </w:p>
        </w:tc>
        <w:tc>
          <w:tcPr>
            <w:tcW w:w="420" w:type="pct"/>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Hywel Dda UHB</w:t>
            </w:r>
          </w:p>
        </w:tc>
        <w:tc>
          <w:tcPr>
            <w:tcW w:w="420" w:type="pct"/>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Powys THB</w:t>
            </w:r>
          </w:p>
        </w:tc>
        <w:tc>
          <w:tcPr>
            <w:tcW w:w="421" w:type="pct"/>
            <w:tcBorders>
              <w:top w:val="single" w:sz="8" w:space="0" w:color="000000"/>
              <w:left w:val="nil"/>
              <w:bottom w:val="nil"/>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xml:space="preserve">Velindre NHS </w:t>
            </w:r>
          </w:p>
        </w:tc>
        <w:tc>
          <w:tcPr>
            <w:tcW w:w="420" w:type="pct"/>
            <w:tcBorders>
              <w:top w:val="single" w:sz="8" w:space="0" w:color="000000"/>
              <w:left w:val="nil"/>
              <w:bottom w:val="nil"/>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EASC</w:t>
            </w:r>
          </w:p>
        </w:tc>
      </w:tr>
      <w:tr w:rsidR="00A956BD" w:rsidRPr="00A956BD" w:rsidTr="00AD5EDD">
        <w:trPr>
          <w:trHeight w:val="315"/>
        </w:trPr>
        <w:tc>
          <w:tcPr>
            <w:tcW w:w="1218" w:type="pct"/>
            <w:vMerge/>
            <w:tcBorders>
              <w:top w:val="single" w:sz="8" w:space="0" w:color="000000"/>
              <w:left w:val="single" w:sz="8" w:space="0" w:color="000000"/>
              <w:bottom w:val="nil"/>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420" w:type="pct"/>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420" w:type="pct"/>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420" w:type="pct"/>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420" w:type="pct"/>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420" w:type="pct"/>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420" w:type="pct"/>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420" w:type="pct"/>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421" w:type="pct"/>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Trust</w:t>
            </w:r>
          </w:p>
        </w:tc>
        <w:tc>
          <w:tcPr>
            <w:tcW w:w="420" w:type="pct"/>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Requirement</w:t>
            </w:r>
          </w:p>
        </w:tc>
      </w:tr>
      <w:tr w:rsidR="00A956BD" w:rsidRPr="00A956BD" w:rsidTr="00AD5EDD">
        <w:trPr>
          <w:trHeight w:val="300"/>
        </w:trPr>
        <w:tc>
          <w:tcPr>
            <w:tcW w:w="1218" w:type="pct"/>
            <w:vMerge/>
            <w:tcBorders>
              <w:top w:val="single" w:sz="8" w:space="0" w:color="000000"/>
              <w:left w:val="single" w:sz="8" w:space="0" w:color="000000"/>
              <w:bottom w:val="nil"/>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420" w:type="pct"/>
            <w:tcBorders>
              <w:top w:val="nil"/>
              <w:left w:val="nil"/>
              <w:bottom w:val="nil"/>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420" w:type="pct"/>
            <w:tcBorders>
              <w:top w:val="nil"/>
              <w:left w:val="nil"/>
              <w:bottom w:val="nil"/>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420" w:type="pct"/>
            <w:tcBorders>
              <w:top w:val="nil"/>
              <w:left w:val="nil"/>
              <w:bottom w:val="nil"/>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420" w:type="pct"/>
            <w:tcBorders>
              <w:top w:val="nil"/>
              <w:left w:val="nil"/>
              <w:bottom w:val="nil"/>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420" w:type="pct"/>
            <w:tcBorders>
              <w:top w:val="nil"/>
              <w:left w:val="nil"/>
              <w:bottom w:val="nil"/>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420" w:type="pct"/>
            <w:tcBorders>
              <w:top w:val="nil"/>
              <w:left w:val="nil"/>
              <w:bottom w:val="nil"/>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420" w:type="pct"/>
            <w:tcBorders>
              <w:top w:val="nil"/>
              <w:left w:val="nil"/>
              <w:bottom w:val="nil"/>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421" w:type="pct"/>
            <w:tcBorders>
              <w:top w:val="nil"/>
              <w:left w:val="nil"/>
              <w:bottom w:val="nil"/>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420" w:type="pct"/>
            <w:tcBorders>
              <w:top w:val="nil"/>
              <w:left w:val="nil"/>
              <w:bottom w:val="nil"/>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r>
      <w:tr w:rsidR="00A956BD" w:rsidRPr="00A956BD" w:rsidTr="00AD5EDD">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EASC: WAST EMS Provision 2020/21</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17.114 </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27.962 </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43.090 </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20.054 </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21.568 </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22.973 </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12.479 </w:t>
            </w:r>
          </w:p>
        </w:tc>
        <w:tc>
          <w:tcPr>
            <w:tcW w:w="421" w:type="pct"/>
            <w:tcBorders>
              <w:top w:val="single" w:sz="4" w:space="0" w:color="auto"/>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   </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165.239 </w:t>
            </w:r>
          </w:p>
        </w:tc>
      </w:tr>
      <w:tr w:rsidR="00A956BD" w:rsidRPr="00A956BD" w:rsidTr="00AD5EDD">
        <w:trPr>
          <w:trHeight w:val="300"/>
        </w:trPr>
        <w:tc>
          <w:tcPr>
            <w:tcW w:w="1218" w:type="pct"/>
            <w:tcBorders>
              <w:top w:val="nil"/>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EASC: NEPTS Provision 2020/21</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3.767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2.804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4.927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4.663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1.373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2.106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1.075 </w:t>
            </w:r>
          </w:p>
        </w:tc>
        <w:tc>
          <w:tcPr>
            <w:tcW w:w="421"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0.679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21.394 </w:t>
            </w:r>
          </w:p>
        </w:tc>
      </w:tr>
      <w:tr w:rsidR="00A956BD" w:rsidRPr="00A956BD" w:rsidTr="00AD5EDD">
        <w:trPr>
          <w:trHeight w:val="300"/>
        </w:trPr>
        <w:tc>
          <w:tcPr>
            <w:tcW w:w="1218" w:type="pct"/>
            <w:tcBorders>
              <w:top w:val="nil"/>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EASC: EMRTS Provision 2020/21</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0.488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0.749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0.947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0.612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0.570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0.517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0.203 </w:t>
            </w:r>
          </w:p>
        </w:tc>
        <w:tc>
          <w:tcPr>
            <w:tcW w:w="421"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4.087 </w:t>
            </w:r>
          </w:p>
        </w:tc>
      </w:tr>
      <w:tr w:rsidR="00A956BD" w:rsidRPr="00A956BD" w:rsidTr="00AD5EDD">
        <w:trPr>
          <w:trHeight w:val="300"/>
        </w:trPr>
        <w:tc>
          <w:tcPr>
            <w:tcW w:w="1218" w:type="pct"/>
            <w:tcBorders>
              <w:top w:val="nil"/>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NCCU 2020/21</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0.150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0.247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0.379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0.177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0.190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0.201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0.109 </w:t>
            </w:r>
          </w:p>
        </w:tc>
        <w:tc>
          <w:tcPr>
            <w:tcW w:w="421"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1.453 </w:t>
            </w:r>
          </w:p>
        </w:tc>
      </w:tr>
      <w:tr w:rsidR="00A956BD" w:rsidRPr="00A956BD" w:rsidTr="00AD5EDD">
        <w:trPr>
          <w:trHeight w:val="300"/>
        </w:trPr>
        <w:tc>
          <w:tcPr>
            <w:tcW w:w="1218" w:type="pct"/>
            <w:tcBorders>
              <w:top w:val="nil"/>
              <w:left w:val="single" w:sz="4" w:space="0" w:color="auto"/>
              <w:bottom w:val="nil"/>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EASC and NCCU Total Requirement 2020/21</w:t>
            </w:r>
          </w:p>
        </w:tc>
        <w:tc>
          <w:tcPr>
            <w:tcW w:w="420" w:type="pct"/>
            <w:tcBorders>
              <w:top w:val="nil"/>
              <w:left w:val="nil"/>
              <w:bottom w:val="nil"/>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21.519 </w:t>
            </w:r>
          </w:p>
        </w:tc>
        <w:tc>
          <w:tcPr>
            <w:tcW w:w="420" w:type="pct"/>
            <w:tcBorders>
              <w:top w:val="nil"/>
              <w:left w:val="nil"/>
              <w:bottom w:val="nil"/>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31.761 </w:t>
            </w:r>
          </w:p>
        </w:tc>
        <w:tc>
          <w:tcPr>
            <w:tcW w:w="420" w:type="pct"/>
            <w:tcBorders>
              <w:top w:val="nil"/>
              <w:left w:val="nil"/>
              <w:bottom w:val="nil"/>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49.342 </w:t>
            </w:r>
          </w:p>
        </w:tc>
        <w:tc>
          <w:tcPr>
            <w:tcW w:w="420" w:type="pct"/>
            <w:tcBorders>
              <w:top w:val="nil"/>
              <w:left w:val="nil"/>
              <w:bottom w:val="nil"/>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25.507 </w:t>
            </w:r>
          </w:p>
        </w:tc>
        <w:tc>
          <w:tcPr>
            <w:tcW w:w="420" w:type="pct"/>
            <w:tcBorders>
              <w:top w:val="nil"/>
              <w:left w:val="nil"/>
              <w:bottom w:val="nil"/>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23.700 </w:t>
            </w:r>
          </w:p>
        </w:tc>
        <w:tc>
          <w:tcPr>
            <w:tcW w:w="420" w:type="pct"/>
            <w:tcBorders>
              <w:top w:val="nil"/>
              <w:left w:val="nil"/>
              <w:bottom w:val="nil"/>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25.798 </w:t>
            </w:r>
          </w:p>
        </w:tc>
        <w:tc>
          <w:tcPr>
            <w:tcW w:w="420" w:type="pct"/>
            <w:tcBorders>
              <w:top w:val="nil"/>
              <w:left w:val="nil"/>
              <w:bottom w:val="nil"/>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13.866 </w:t>
            </w:r>
          </w:p>
        </w:tc>
        <w:tc>
          <w:tcPr>
            <w:tcW w:w="421" w:type="pct"/>
            <w:tcBorders>
              <w:top w:val="nil"/>
              <w:left w:val="nil"/>
              <w:bottom w:val="nil"/>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0.679 </w:t>
            </w:r>
          </w:p>
        </w:tc>
        <w:tc>
          <w:tcPr>
            <w:tcW w:w="420" w:type="pct"/>
            <w:tcBorders>
              <w:top w:val="nil"/>
              <w:left w:val="nil"/>
              <w:bottom w:val="nil"/>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192.173 </w:t>
            </w:r>
          </w:p>
        </w:tc>
      </w:tr>
      <w:tr w:rsidR="00A956BD" w:rsidRPr="00A956BD" w:rsidTr="00AD5EDD">
        <w:trPr>
          <w:trHeight w:val="300"/>
        </w:trPr>
        <w:tc>
          <w:tcPr>
            <w:tcW w:w="1218" w:type="pct"/>
            <w:tcBorders>
              <w:top w:val="single" w:sz="4" w:space="0" w:color="auto"/>
              <w:left w:val="single" w:sz="4" w:space="0" w:color="auto"/>
              <w:bottom w:val="single" w:sz="4" w:space="0" w:color="auto"/>
              <w:right w:val="nil"/>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w:t>
            </w:r>
          </w:p>
        </w:tc>
        <w:tc>
          <w:tcPr>
            <w:tcW w:w="420" w:type="pct"/>
            <w:tcBorders>
              <w:top w:val="single" w:sz="4" w:space="0" w:color="auto"/>
              <w:left w:val="nil"/>
              <w:bottom w:val="single" w:sz="4" w:space="0" w:color="auto"/>
              <w:right w:val="nil"/>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w:t>
            </w:r>
          </w:p>
        </w:tc>
        <w:tc>
          <w:tcPr>
            <w:tcW w:w="420" w:type="pct"/>
            <w:tcBorders>
              <w:top w:val="single" w:sz="4" w:space="0" w:color="auto"/>
              <w:left w:val="nil"/>
              <w:bottom w:val="single" w:sz="4" w:space="0" w:color="auto"/>
              <w:right w:val="nil"/>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w:t>
            </w:r>
          </w:p>
        </w:tc>
        <w:tc>
          <w:tcPr>
            <w:tcW w:w="420" w:type="pct"/>
            <w:tcBorders>
              <w:top w:val="single" w:sz="4" w:space="0" w:color="auto"/>
              <w:left w:val="nil"/>
              <w:bottom w:val="single" w:sz="4" w:space="0" w:color="auto"/>
              <w:right w:val="nil"/>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w:t>
            </w:r>
          </w:p>
        </w:tc>
        <w:tc>
          <w:tcPr>
            <w:tcW w:w="420" w:type="pct"/>
            <w:tcBorders>
              <w:top w:val="single" w:sz="4" w:space="0" w:color="auto"/>
              <w:left w:val="nil"/>
              <w:bottom w:val="single" w:sz="4" w:space="0" w:color="auto"/>
              <w:right w:val="nil"/>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w:t>
            </w:r>
          </w:p>
        </w:tc>
        <w:tc>
          <w:tcPr>
            <w:tcW w:w="420" w:type="pct"/>
            <w:tcBorders>
              <w:top w:val="single" w:sz="4" w:space="0" w:color="auto"/>
              <w:left w:val="nil"/>
              <w:bottom w:val="single" w:sz="4" w:space="0" w:color="auto"/>
              <w:right w:val="nil"/>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w:t>
            </w:r>
          </w:p>
        </w:tc>
        <w:tc>
          <w:tcPr>
            <w:tcW w:w="420" w:type="pct"/>
            <w:tcBorders>
              <w:top w:val="single" w:sz="4" w:space="0" w:color="auto"/>
              <w:left w:val="nil"/>
              <w:bottom w:val="single" w:sz="4" w:space="0" w:color="auto"/>
              <w:right w:val="nil"/>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w:t>
            </w:r>
          </w:p>
        </w:tc>
        <w:tc>
          <w:tcPr>
            <w:tcW w:w="420" w:type="pct"/>
            <w:tcBorders>
              <w:top w:val="single" w:sz="4" w:space="0" w:color="auto"/>
              <w:left w:val="nil"/>
              <w:bottom w:val="single" w:sz="4" w:space="0" w:color="auto"/>
              <w:right w:val="nil"/>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w:t>
            </w:r>
          </w:p>
        </w:tc>
        <w:tc>
          <w:tcPr>
            <w:tcW w:w="421" w:type="pct"/>
            <w:tcBorders>
              <w:top w:val="single" w:sz="4" w:space="0" w:color="auto"/>
              <w:left w:val="nil"/>
              <w:bottom w:val="single" w:sz="4" w:space="0" w:color="auto"/>
              <w:right w:val="nil"/>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w:t>
            </w:r>
          </w:p>
        </w:tc>
      </w:tr>
      <w:tr w:rsidR="00A956BD" w:rsidRPr="00A956BD" w:rsidTr="00AD5EDD">
        <w:trPr>
          <w:trHeight w:val="300"/>
        </w:trPr>
        <w:tc>
          <w:tcPr>
            <w:tcW w:w="1218" w:type="pct"/>
            <w:tcBorders>
              <w:top w:val="nil"/>
              <w:left w:val="single" w:sz="4" w:space="0" w:color="auto"/>
              <w:bottom w:val="single" w:sz="4" w:space="0" w:color="auto"/>
              <w:right w:val="nil"/>
            </w:tcBorders>
            <w:shd w:val="clear" w:color="000000" w:fill="FF0000"/>
            <w:noWrap/>
            <w:vAlign w:val="center"/>
            <w:hideMark/>
          </w:tcPr>
          <w:p w:rsidR="00A956BD" w:rsidRPr="00A956BD" w:rsidRDefault="00A956BD" w:rsidP="00A956BD">
            <w:pPr>
              <w:spacing w:after="0" w:line="240" w:lineRule="auto"/>
              <w:rPr>
                <w:rFonts w:ascii="Calibri" w:eastAsia="Times New Roman" w:hAnsi="Calibri" w:cs="Times New Roman"/>
                <w:b/>
                <w:bCs/>
                <w:color w:val="FFFFFF"/>
                <w:lang w:eastAsia="en-GB"/>
              </w:rPr>
            </w:pPr>
            <w:r w:rsidRPr="00A956BD">
              <w:rPr>
                <w:rFonts w:ascii="Calibri" w:eastAsia="Times New Roman" w:hAnsi="Calibri" w:cs="Times New Roman"/>
                <w:b/>
                <w:bCs/>
                <w:color w:val="FFFFFF"/>
                <w:lang w:eastAsia="en-GB"/>
              </w:rPr>
              <w:t>Recurrent Financial Values at Risk *</w:t>
            </w:r>
          </w:p>
        </w:tc>
        <w:tc>
          <w:tcPr>
            <w:tcW w:w="420" w:type="pct"/>
            <w:tcBorders>
              <w:top w:val="nil"/>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1.098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1.795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2.771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1.287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1.385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1.475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0.802 </w:t>
            </w:r>
          </w:p>
        </w:tc>
        <w:tc>
          <w:tcPr>
            <w:tcW w:w="421"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10.613 </w:t>
            </w:r>
          </w:p>
        </w:tc>
      </w:tr>
      <w:tr w:rsidR="00A956BD" w:rsidRPr="00A956BD" w:rsidTr="00AD5EDD">
        <w:trPr>
          <w:trHeight w:val="300"/>
        </w:trPr>
        <w:tc>
          <w:tcPr>
            <w:tcW w:w="1218" w:type="pct"/>
            <w:tcBorders>
              <w:top w:val="nil"/>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Total inc. Financial Values at Risk</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22.618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33.556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52.113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26.794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25.085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27.273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14.668 </w:t>
            </w:r>
          </w:p>
        </w:tc>
        <w:tc>
          <w:tcPr>
            <w:tcW w:w="421"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0.679 </w:t>
            </w:r>
          </w:p>
        </w:tc>
        <w:tc>
          <w:tcPr>
            <w:tcW w:w="420" w:type="pct"/>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b/>
                <w:bCs/>
                <w:color w:val="000000"/>
                <w:lang w:eastAsia="en-GB"/>
              </w:rPr>
            </w:pPr>
            <w:r w:rsidRPr="00A956BD">
              <w:rPr>
                <w:rFonts w:ascii="Calibri" w:eastAsia="Times New Roman" w:hAnsi="Calibri" w:cs="Times New Roman"/>
                <w:b/>
                <w:bCs/>
                <w:color w:val="000000"/>
                <w:lang w:eastAsia="en-GB"/>
              </w:rPr>
              <w:t xml:space="preserve">              202.786 </w:t>
            </w:r>
          </w:p>
        </w:tc>
      </w:tr>
    </w:tbl>
    <w:p w:rsidR="00A956BD" w:rsidRPr="00A956BD" w:rsidRDefault="00A956BD" w:rsidP="00A956BD">
      <w:pPr>
        <w:ind w:left="567"/>
      </w:pPr>
    </w:p>
    <w:p w:rsidR="00A956BD" w:rsidRPr="00A956BD" w:rsidRDefault="00A956BD" w:rsidP="00A956BD">
      <w:pPr>
        <w:ind w:left="567" w:right="680"/>
      </w:pPr>
      <w:r w:rsidRPr="00A956BD">
        <w:br w:type="page"/>
      </w:r>
    </w:p>
    <w:p w:rsidR="00A956BD" w:rsidRPr="00A956BD" w:rsidRDefault="00A956BD" w:rsidP="00A956BD">
      <w:pPr>
        <w:keepNext/>
        <w:keepLines/>
        <w:numPr>
          <w:ilvl w:val="2"/>
          <w:numId w:val="0"/>
        </w:numPr>
        <w:spacing w:before="40" w:after="0"/>
        <w:ind w:left="1287" w:right="680" w:hanging="720"/>
        <w:outlineLvl w:val="2"/>
        <w:rPr>
          <w:rFonts w:asciiTheme="majorHAnsi" w:eastAsiaTheme="majorEastAsia" w:hAnsiTheme="majorHAnsi" w:cstheme="majorBidi"/>
          <w:color w:val="1F4D78" w:themeColor="accent1" w:themeShade="7F"/>
          <w:sz w:val="28"/>
          <w:szCs w:val="24"/>
        </w:rPr>
        <w:sectPr w:rsidR="00A956BD" w:rsidRPr="00A956BD" w:rsidSect="00155870">
          <w:pgSz w:w="16839" w:h="11907" w:orient="landscape" w:code="9"/>
          <w:pgMar w:top="1440" w:right="851" w:bottom="1440" w:left="567" w:header="709" w:footer="709" w:gutter="0"/>
          <w:cols w:space="708"/>
          <w:docGrid w:linePitch="360"/>
        </w:sectPr>
      </w:pPr>
    </w:p>
    <w:p w:rsidR="00A956BD" w:rsidRPr="00A956BD" w:rsidRDefault="00A956BD" w:rsidP="00A956BD">
      <w:pPr>
        <w:keepNext/>
        <w:keepLines/>
        <w:numPr>
          <w:ilvl w:val="2"/>
          <w:numId w:val="0"/>
        </w:numPr>
        <w:spacing w:before="40" w:after="0"/>
        <w:ind w:left="1287" w:right="680" w:hanging="720"/>
        <w:outlineLvl w:val="2"/>
        <w:rPr>
          <w:rFonts w:asciiTheme="majorHAnsi" w:eastAsiaTheme="majorEastAsia" w:hAnsiTheme="majorHAnsi" w:cstheme="majorBidi"/>
          <w:color w:val="1F4D78" w:themeColor="accent1" w:themeShade="7F"/>
          <w:sz w:val="28"/>
          <w:szCs w:val="24"/>
        </w:rPr>
      </w:pPr>
      <w:r w:rsidRPr="00A956BD">
        <w:rPr>
          <w:rFonts w:asciiTheme="majorHAnsi" w:eastAsiaTheme="majorEastAsia" w:hAnsiTheme="majorHAnsi" w:cstheme="majorBidi"/>
          <w:color w:val="1F4D78" w:themeColor="accent1" w:themeShade="7F"/>
          <w:sz w:val="28"/>
          <w:szCs w:val="24"/>
        </w:rPr>
        <w:lastRenderedPageBreak/>
        <w:t>Emergency Medical Services 2020/21 Financial Values</w:t>
      </w:r>
    </w:p>
    <w:p w:rsidR="00A956BD" w:rsidRPr="00A956BD" w:rsidRDefault="00A956BD" w:rsidP="00A956BD">
      <w:pPr>
        <w:spacing w:after="0"/>
        <w:ind w:left="567" w:right="680"/>
      </w:pPr>
      <w:r w:rsidRPr="00A956BD">
        <w:rPr>
          <w:noProof/>
          <w:lang w:eastAsia="en-GB"/>
        </w:rPr>
        <w:drawing>
          <wp:inline distT="0" distB="0" distL="0" distR="0" wp14:anchorId="1B6374E1" wp14:editId="51879D4D">
            <wp:extent cx="13430250" cy="691515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3430250" cy="6915150"/>
                    </a:xfrm>
                    <a:prstGeom prst="rect">
                      <a:avLst/>
                    </a:prstGeom>
                    <a:noFill/>
                    <a:ln>
                      <a:noFill/>
                    </a:ln>
                  </pic:spPr>
                </pic:pic>
              </a:graphicData>
            </a:graphic>
          </wp:inline>
        </w:drawing>
      </w:r>
    </w:p>
    <w:p w:rsidR="00A956BD" w:rsidRPr="00A956BD" w:rsidRDefault="00A956BD" w:rsidP="00A956BD">
      <w:pPr>
        <w:spacing w:after="0"/>
        <w:ind w:left="567" w:right="680"/>
      </w:pPr>
      <w:r w:rsidRPr="00A956BD">
        <w:t>*To be confirmed - this will not exceed the financial value at risk set out below</w:t>
      </w:r>
    </w:p>
    <w:p w:rsidR="00A956BD" w:rsidRPr="00A956BD" w:rsidRDefault="00A956BD" w:rsidP="00A956BD">
      <w:pPr>
        <w:ind w:left="567" w:right="680"/>
      </w:pPr>
      <w:r w:rsidRPr="00A956BD">
        <w:br w:type="page"/>
      </w:r>
    </w:p>
    <w:p w:rsidR="00A956BD" w:rsidRPr="00A956BD" w:rsidRDefault="00A956BD" w:rsidP="00A956BD">
      <w:pPr>
        <w:keepNext/>
        <w:keepLines/>
        <w:numPr>
          <w:ilvl w:val="2"/>
          <w:numId w:val="0"/>
        </w:numPr>
        <w:spacing w:before="40" w:after="0"/>
        <w:ind w:left="1287" w:right="680" w:hanging="720"/>
        <w:outlineLvl w:val="2"/>
        <w:rPr>
          <w:rFonts w:asciiTheme="majorHAnsi" w:eastAsiaTheme="majorEastAsia" w:hAnsiTheme="majorHAnsi" w:cstheme="majorBidi"/>
          <w:color w:val="1F4D78" w:themeColor="accent1" w:themeShade="7F"/>
          <w:sz w:val="28"/>
          <w:szCs w:val="24"/>
        </w:rPr>
      </w:pPr>
      <w:r w:rsidRPr="00A956BD">
        <w:rPr>
          <w:rFonts w:asciiTheme="majorHAnsi" w:eastAsiaTheme="majorEastAsia" w:hAnsiTheme="majorHAnsi" w:cstheme="majorBidi"/>
          <w:color w:val="1F4D78" w:themeColor="accent1" w:themeShade="7F"/>
          <w:sz w:val="28"/>
          <w:szCs w:val="24"/>
        </w:rPr>
        <w:lastRenderedPageBreak/>
        <w:t>Non-Emergency Patient Transport Services 2020/21 Financial Values</w:t>
      </w:r>
    </w:p>
    <w:tbl>
      <w:tblPr>
        <w:tblW w:w="19440" w:type="dxa"/>
        <w:jc w:val="center"/>
        <w:tblLook w:val="04A0" w:firstRow="1" w:lastRow="0" w:firstColumn="1" w:lastColumn="0" w:noHBand="0" w:noVBand="1"/>
      </w:tblPr>
      <w:tblGrid>
        <w:gridCol w:w="4806"/>
        <w:gridCol w:w="1626"/>
        <w:gridCol w:w="1626"/>
        <w:gridCol w:w="1626"/>
        <w:gridCol w:w="1626"/>
        <w:gridCol w:w="1626"/>
        <w:gridCol w:w="1626"/>
        <w:gridCol w:w="1626"/>
        <w:gridCol w:w="1626"/>
        <w:gridCol w:w="1626"/>
      </w:tblGrid>
      <w:tr w:rsidR="00A956BD" w:rsidRPr="00A956BD" w:rsidTr="004C38CF">
        <w:trPr>
          <w:trHeight w:val="300"/>
          <w:jc w:val="center"/>
        </w:trPr>
        <w:tc>
          <w:tcPr>
            <w:tcW w:w="4806" w:type="dxa"/>
            <w:tcBorders>
              <w:top w:val="single" w:sz="8" w:space="0" w:color="000000"/>
              <w:left w:val="single" w:sz="8" w:space="0" w:color="000000"/>
              <w:bottom w:val="nil"/>
              <w:right w:val="single" w:sz="8" w:space="0" w:color="000000"/>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EASC: NEPTS Provision 2020/21</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SBUHB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Aneurin Bevan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Betsi Cadwaladr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Cardiff &amp; Vale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4C38CF"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xml:space="preserve">Cwm Taf </w:t>
            </w:r>
          </w:p>
          <w:p w:rsidR="00A956BD" w:rsidRPr="00A956BD" w:rsidRDefault="004C38CF" w:rsidP="004C38CF">
            <w:pPr>
              <w:spacing w:after="0" w:line="240" w:lineRule="auto"/>
              <w:jc w:val="center"/>
              <w:rPr>
                <w:rFonts w:ascii="Calibri" w:eastAsia="Times New Roman" w:hAnsi="Calibri" w:cs="Times New Roman"/>
                <w:b/>
                <w:bCs/>
                <w:color w:val="D7B37E"/>
                <w:lang w:eastAsia="en-GB"/>
              </w:rPr>
            </w:pPr>
            <w:r>
              <w:rPr>
                <w:rFonts w:ascii="Calibri" w:eastAsia="Times New Roman" w:hAnsi="Calibri" w:cs="Times New Roman"/>
                <w:b/>
                <w:bCs/>
                <w:color w:val="D7B37E"/>
                <w:lang w:eastAsia="en-GB"/>
              </w:rPr>
              <w:t xml:space="preserve">Morgannwg </w:t>
            </w:r>
            <w:r w:rsidR="00A956BD" w:rsidRPr="00A956BD">
              <w:rPr>
                <w:rFonts w:ascii="Calibri" w:eastAsia="Times New Roman" w:hAnsi="Calibri" w:cs="Times New Roman"/>
                <w:b/>
                <w:bCs/>
                <w:color w:val="D7B37E"/>
                <w:lang w:eastAsia="en-GB"/>
              </w:rPr>
              <w:t>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Hywel Dda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4C38CF"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xml:space="preserve">Powys </w:t>
            </w:r>
          </w:p>
          <w:p w:rsidR="00A956BD" w:rsidRPr="00A956BD" w:rsidRDefault="00A956BD" w:rsidP="004C38CF">
            <w:pPr>
              <w:spacing w:after="0" w:line="240" w:lineRule="auto"/>
              <w:ind w:firstLineChars="100" w:firstLine="221"/>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THB</w:t>
            </w:r>
          </w:p>
        </w:tc>
        <w:tc>
          <w:tcPr>
            <w:tcW w:w="1626" w:type="dxa"/>
            <w:tcBorders>
              <w:top w:val="single" w:sz="8" w:space="0" w:color="000000"/>
              <w:left w:val="nil"/>
              <w:bottom w:val="nil"/>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Velindre NHS</w:t>
            </w:r>
          </w:p>
        </w:tc>
        <w:tc>
          <w:tcPr>
            <w:tcW w:w="1626" w:type="dxa"/>
            <w:tcBorders>
              <w:top w:val="single" w:sz="8" w:space="0" w:color="000000"/>
              <w:left w:val="nil"/>
              <w:bottom w:val="nil"/>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EASC</w:t>
            </w:r>
          </w:p>
        </w:tc>
      </w:tr>
      <w:tr w:rsidR="00A956BD" w:rsidRPr="00A956BD" w:rsidTr="004C38CF">
        <w:trPr>
          <w:trHeight w:val="315"/>
          <w:jc w:val="center"/>
        </w:trPr>
        <w:tc>
          <w:tcPr>
            <w:tcW w:w="4806" w:type="dxa"/>
            <w:tcBorders>
              <w:top w:val="nil"/>
              <w:left w:val="single" w:sz="8" w:space="0" w:color="000000"/>
              <w:bottom w:val="nil"/>
              <w:right w:val="single" w:sz="8" w:space="0" w:color="000000"/>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Quality &amp; Delivery Framework Agreement</w:t>
            </w:r>
          </w:p>
        </w:tc>
        <w:tc>
          <w:tcPr>
            <w:tcW w:w="1626" w:type="dxa"/>
            <w:vMerge/>
            <w:tcBorders>
              <w:top w:val="single" w:sz="8" w:space="0" w:color="000000"/>
              <w:left w:val="single" w:sz="8" w:space="0" w:color="000000"/>
              <w:bottom w:val="single" w:sz="8" w:space="0" w:color="000000"/>
              <w:right w:val="single" w:sz="8" w:space="0" w:color="000000"/>
            </w:tcBorders>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p>
        </w:tc>
        <w:tc>
          <w:tcPr>
            <w:tcW w:w="1626" w:type="dxa"/>
            <w:tcBorders>
              <w:top w:val="nil"/>
              <w:left w:val="nil"/>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Trust</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Requirement</w:t>
            </w:r>
          </w:p>
        </w:tc>
      </w:tr>
      <w:tr w:rsidR="00A956BD" w:rsidRPr="00A956BD" w:rsidTr="004C38CF">
        <w:trPr>
          <w:trHeight w:val="315"/>
          <w:jc w:val="center"/>
        </w:trPr>
        <w:tc>
          <w:tcPr>
            <w:tcW w:w="4806" w:type="dxa"/>
            <w:tcBorders>
              <w:top w:val="nil"/>
              <w:left w:val="single" w:sz="8" w:space="0" w:color="000000"/>
              <w:bottom w:val="single" w:sz="8" w:space="0" w:color="000000"/>
              <w:right w:val="single" w:sz="8" w:space="0" w:color="000000"/>
            </w:tcBorders>
            <w:shd w:val="clear" w:color="000000" w:fill="325083"/>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r>
      <w:tr w:rsidR="00A956BD" w:rsidRPr="00A956BD" w:rsidTr="004C38CF">
        <w:trPr>
          <w:trHeight w:val="300"/>
          <w:jc w:val="center"/>
        </w:trPr>
        <w:tc>
          <w:tcPr>
            <w:tcW w:w="4806" w:type="dxa"/>
            <w:tcBorders>
              <w:top w:val="single" w:sz="4" w:space="0" w:color="auto"/>
              <w:left w:val="single" w:sz="4" w:space="0" w:color="auto"/>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2019/20 NEPTS Requirement through EASC</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3.679</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2.738</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4.811</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4.554</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1.341</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2.057</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1.049</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0.663</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20.893</w:t>
            </w:r>
          </w:p>
        </w:tc>
      </w:tr>
      <w:tr w:rsidR="00A956BD" w:rsidRPr="00A956BD" w:rsidTr="004C38CF">
        <w:trPr>
          <w:trHeight w:val="300"/>
          <w:jc w:val="center"/>
        </w:trPr>
        <w:tc>
          <w:tcPr>
            <w:tcW w:w="4806" w:type="dxa"/>
            <w:tcBorders>
              <w:top w:val="nil"/>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Healthier Wales 1% System Reallocation (recurrent)</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0.034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0.025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0.044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0.042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0.012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0.019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0.010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0.006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0.192 </w:t>
            </w:r>
          </w:p>
        </w:tc>
      </w:tr>
      <w:tr w:rsidR="00A956BD" w:rsidRPr="00A956BD" w:rsidTr="004C38CF">
        <w:trPr>
          <w:trHeight w:val="300"/>
          <w:jc w:val="center"/>
        </w:trPr>
        <w:tc>
          <w:tcPr>
            <w:tcW w:w="4806" w:type="dxa"/>
            <w:tcBorders>
              <w:top w:val="nil"/>
              <w:left w:val="single" w:sz="4" w:space="0" w:color="auto"/>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2019/20 NEPTS Adjusted requirement 2019/20</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3.645</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2.713</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4.767</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4.512</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1.328</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2.038</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1.040</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0.657</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20.701</w:t>
            </w:r>
          </w:p>
        </w:tc>
      </w:tr>
      <w:tr w:rsidR="00A956BD" w:rsidRPr="00A956BD" w:rsidTr="004C38CF">
        <w:trPr>
          <w:trHeight w:val="300"/>
          <w:jc w:val="center"/>
        </w:trPr>
        <w:tc>
          <w:tcPr>
            <w:tcW w:w="4806" w:type="dxa"/>
            <w:tcBorders>
              <w:top w:val="nil"/>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Pay Award (Per Pay Funding Matrix 2020/21)</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0.049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0.037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0.064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0.061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0.018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0.027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0.014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0.009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0.279 </w:t>
            </w:r>
          </w:p>
        </w:tc>
      </w:tr>
      <w:tr w:rsidR="00A956BD" w:rsidRPr="00A956BD" w:rsidTr="004C38CF">
        <w:trPr>
          <w:trHeight w:val="300"/>
          <w:jc w:val="center"/>
        </w:trPr>
        <w:tc>
          <w:tcPr>
            <w:tcW w:w="4806" w:type="dxa"/>
            <w:tcBorders>
              <w:top w:val="nil"/>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2% uplift</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0.073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0.054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0.095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0.090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0.027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0.041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0.021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0.013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0.414 </w:t>
            </w:r>
          </w:p>
        </w:tc>
      </w:tr>
      <w:tr w:rsidR="00A956BD" w:rsidRPr="00A956BD" w:rsidTr="004C38CF">
        <w:trPr>
          <w:trHeight w:val="300"/>
          <w:jc w:val="center"/>
        </w:trPr>
        <w:tc>
          <w:tcPr>
            <w:tcW w:w="4806" w:type="dxa"/>
            <w:tcBorders>
              <w:top w:val="nil"/>
              <w:left w:val="single" w:sz="4" w:space="0" w:color="auto"/>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2020/21 NEPTS Requirement through EASC</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3.767</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2.804</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4.927</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4.663</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1.373</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2.106</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1.075</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0.679</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21.394</w:t>
            </w:r>
          </w:p>
        </w:tc>
      </w:tr>
      <w:tr w:rsidR="00A956BD" w:rsidRPr="00A956BD" w:rsidTr="004C38CF">
        <w:trPr>
          <w:trHeight w:val="300"/>
          <w:jc w:val="center"/>
        </w:trPr>
        <w:tc>
          <w:tcPr>
            <w:tcW w:w="480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rPr>
                <w:rFonts w:ascii="Times New Roman" w:eastAsia="Times New Roman" w:hAnsi="Times New Roman" w:cs="Times New Roman"/>
                <w:sz w:val="20"/>
                <w:szCs w:val="20"/>
                <w:lang w:eastAsia="en-GB"/>
              </w:rPr>
            </w:pP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rPr>
                <w:rFonts w:ascii="Times New Roman" w:eastAsia="Times New Roman" w:hAnsi="Times New Roman" w:cs="Times New Roman"/>
                <w:sz w:val="20"/>
                <w:szCs w:val="20"/>
                <w:lang w:eastAsia="en-GB"/>
              </w:rPr>
            </w:pP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rPr>
                <w:rFonts w:ascii="Times New Roman" w:eastAsia="Times New Roman" w:hAnsi="Times New Roman" w:cs="Times New Roman"/>
                <w:sz w:val="20"/>
                <w:szCs w:val="20"/>
                <w:lang w:eastAsia="en-GB"/>
              </w:rPr>
            </w:pP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rPr>
                <w:rFonts w:ascii="Times New Roman" w:eastAsia="Times New Roman" w:hAnsi="Times New Roman" w:cs="Times New Roman"/>
                <w:sz w:val="20"/>
                <w:szCs w:val="20"/>
                <w:lang w:eastAsia="en-GB"/>
              </w:rPr>
            </w:pP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rPr>
                <w:rFonts w:ascii="Times New Roman" w:eastAsia="Times New Roman" w:hAnsi="Times New Roman" w:cs="Times New Roman"/>
                <w:sz w:val="20"/>
                <w:szCs w:val="20"/>
                <w:lang w:eastAsia="en-GB"/>
              </w:rPr>
            </w:pP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rPr>
                <w:rFonts w:ascii="Times New Roman" w:eastAsia="Times New Roman" w:hAnsi="Times New Roman" w:cs="Times New Roman"/>
                <w:sz w:val="20"/>
                <w:szCs w:val="20"/>
                <w:lang w:eastAsia="en-GB"/>
              </w:rPr>
            </w:pP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rPr>
                <w:rFonts w:ascii="Times New Roman" w:eastAsia="Times New Roman" w:hAnsi="Times New Roman" w:cs="Times New Roman"/>
                <w:sz w:val="20"/>
                <w:szCs w:val="20"/>
                <w:lang w:eastAsia="en-GB"/>
              </w:rPr>
            </w:pP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rPr>
                <w:rFonts w:ascii="Times New Roman" w:eastAsia="Times New Roman" w:hAnsi="Times New Roman" w:cs="Times New Roman"/>
                <w:sz w:val="20"/>
                <w:szCs w:val="20"/>
                <w:lang w:eastAsia="en-GB"/>
              </w:rPr>
            </w:pP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rPr>
                <w:rFonts w:ascii="Times New Roman" w:eastAsia="Times New Roman" w:hAnsi="Times New Roman" w:cs="Times New Roman"/>
                <w:sz w:val="20"/>
                <w:szCs w:val="20"/>
                <w:lang w:eastAsia="en-GB"/>
              </w:rPr>
            </w:pPr>
          </w:p>
        </w:tc>
      </w:tr>
      <w:tr w:rsidR="00A956BD" w:rsidRPr="00A956BD" w:rsidTr="004C38CF">
        <w:trPr>
          <w:trHeight w:val="300"/>
          <w:jc w:val="center"/>
        </w:trPr>
        <w:tc>
          <w:tcPr>
            <w:tcW w:w="480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Proportions</w:t>
            </w: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jc w:val="right"/>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17.61%</w:t>
            </w: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jc w:val="right"/>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13.11%</w:t>
            </w: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jc w:val="right"/>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23.03%</w:t>
            </w: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jc w:val="right"/>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21.80%</w:t>
            </w: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jc w:val="right"/>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6.42%</w:t>
            </w: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jc w:val="right"/>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9.85%</w:t>
            </w: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jc w:val="right"/>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5.02%</w:t>
            </w: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jc w:val="right"/>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3.18%</w:t>
            </w:r>
          </w:p>
        </w:tc>
        <w:tc>
          <w:tcPr>
            <w:tcW w:w="1626" w:type="dxa"/>
            <w:tcBorders>
              <w:top w:val="nil"/>
              <w:left w:val="nil"/>
              <w:bottom w:val="nil"/>
              <w:right w:val="nil"/>
            </w:tcBorders>
            <w:shd w:val="clear" w:color="auto" w:fill="auto"/>
            <w:noWrap/>
            <w:vAlign w:val="bottom"/>
            <w:hideMark/>
          </w:tcPr>
          <w:p w:rsidR="00A956BD" w:rsidRPr="00A956BD" w:rsidRDefault="00A956BD" w:rsidP="00A956BD">
            <w:pPr>
              <w:spacing w:after="0" w:line="240" w:lineRule="auto"/>
              <w:jc w:val="right"/>
              <w:rPr>
                <w:rFonts w:ascii="Calibri" w:eastAsia="Times New Roman" w:hAnsi="Calibri" w:cs="Times New Roman"/>
                <w:color w:val="000000"/>
                <w:lang w:eastAsia="en-GB"/>
              </w:rPr>
            </w:pPr>
          </w:p>
        </w:tc>
      </w:tr>
    </w:tbl>
    <w:p w:rsidR="00A956BD" w:rsidRPr="00A956BD" w:rsidRDefault="00A956BD" w:rsidP="00A956BD">
      <w:pPr>
        <w:ind w:left="567"/>
      </w:pPr>
    </w:p>
    <w:p w:rsidR="00A956BD" w:rsidRPr="00A956BD" w:rsidRDefault="00A956BD" w:rsidP="00A956BD">
      <w:pPr>
        <w:keepNext/>
        <w:keepLines/>
        <w:numPr>
          <w:ilvl w:val="2"/>
          <w:numId w:val="0"/>
        </w:numPr>
        <w:spacing w:before="40" w:after="0"/>
        <w:ind w:left="1287" w:right="680" w:hanging="720"/>
        <w:outlineLvl w:val="2"/>
        <w:rPr>
          <w:rFonts w:asciiTheme="majorHAnsi" w:eastAsiaTheme="majorEastAsia" w:hAnsiTheme="majorHAnsi" w:cstheme="majorBidi"/>
          <w:color w:val="1F4D78" w:themeColor="accent1" w:themeShade="7F"/>
          <w:sz w:val="28"/>
          <w:szCs w:val="24"/>
        </w:rPr>
      </w:pPr>
      <w:r w:rsidRPr="00A956BD">
        <w:rPr>
          <w:rFonts w:asciiTheme="majorHAnsi" w:eastAsiaTheme="majorEastAsia" w:hAnsiTheme="majorHAnsi" w:cstheme="majorBidi"/>
          <w:color w:val="1F4D78" w:themeColor="accent1" w:themeShade="7F"/>
          <w:sz w:val="28"/>
          <w:szCs w:val="24"/>
        </w:rPr>
        <w:t>Emergency Medical Retrieval Transfer Services</w:t>
      </w:r>
    </w:p>
    <w:tbl>
      <w:tblPr>
        <w:tblW w:w="17840" w:type="dxa"/>
        <w:jc w:val="center"/>
        <w:tblLook w:val="04A0" w:firstRow="1" w:lastRow="0" w:firstColumn="1" w:lastColumn="0" w:noHBand="0" w:noVBand="1"/>
      </w:tblPr>
      <w:tblGrid>
        <w:gridCol w:w="4832"/>
        <w:gridCol w:w="1626"/>
        <w:gridCol w:w="1626"/>
        <w:gridCol w:w="1626"/>
        <w:gridCol w:w="1626"/>
        <w:gridCol w:w="1626"/>
        <w:gridCol w:w="1626"/>
        <w:gridCol w:w="1626"/>
        <w:gridCol w:w="1626"/>
      </w:tblGrid>
      <w:tr w:rsidR="00A956BD" w:rsidRPr="00A956BD" w:rsidTr="004C38CF">
        <w:trPr>
          <w:trHeight w:val="300"/>
          <w:jc w:val="center"/>
        </w:trPr>
        <w:tc>
          <w:tcPr>
            <w:tcW w:w="4832" w:type="dxa"/>
            <w:tcBorders>
              <w:top w:val="single" w:sz="8" w:space="0" w:color="000000"/>
              <w:left w:val="single" w:sz="8" w:space="0" w:color="000000"/>
              <w:bottom w:val="nil"/>
              <w:right w:val="single" w:sz="8" w:space="0" w:color="000000"/>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EASC: EMRTS Provision 2020/21</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Swansea Bay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Aneurin Bevan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Betsi Cadwaladr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Cardiff &amp; Vale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xml:space="preserve">Cwm Taf </w:t>
            </w:r>
            <w:r w:rsidR="004C38CF">
              <w:rPr>
                <w:rFonts w:ascii="Calibri" w:eastAsia="Times New Roman" w:hAnsi="Calibri" w:cs="Times New Roman"/>
                <w:b/>
                <w:bCs/>
                <w:color w:val="D7B37E"/>
                <w:lang w:eastAsia="en-GB"/>
              </w:rPr>
              <w:t xml:space="preserve">Morgannwg </w:t>
            </w:r>
            <w:r w:rsidRPr="00A956BD">
              <w:rPr>
                <w:rFonts w:ascii="Calibri" w:eastAsia="Times New Roman" w:hAnsi="Calibri" w:cs="Times New Roman"/>
                <w:b/>
                <w:bCs/>
                <w:color w:val="D7B37E"/>
                <w:lang w:eastAsia="en-GB"/>
              </w:rPr>
              <w:t>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Hywel Dda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4C38CF" w:rsidRDefault="00A956BD" w:rsidP="004C38CF">
            <w:pPr>
              <w:spacing w:after="0" w:line="240" w:lineRule="auto"/>
              <w:ind w:firstLineChars="100" w:firstLine="221"/>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xml:space="preserve">Powys </w:t>
            </w:r>
          </w:p>
          <w:p w:rsidR="00A956BD" w:rsidRPr="00A956BD" w:rsidRDefault="00A956BD" w:rsidP="004C38CF">
            <w:pPr>
              <w:spacing w:after="0" w:line="240" w:lineRule="auto"/>
              <w:ind w:firstLineChars="100" w:firstLine="221"/>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THB</w:t>
            </w:r>
          </w:p>
        </w:tc>
        <w:tc>
          <w:tcPr>
            <w:tcW w:w="1626" w:type="dxa"/>
            <w:tcBorders>
              <w:top w:val="single" w:sz="8" w:space="0" w:color="000000"/>
              <w:left w:val="nil"/>
              <w:bottom w:val="nil"/>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EASC</w:t>
            </w:r>
          </w:p>
        </w:tc>
      </w:tr>
      <w:tr w:rsidR="00A956BD" w:rsidRPr="00A956BD" w:rsidTr="004C38CF">
        <w:trPr>
          <w:trHeight w:val="315"/>
          <w:jc w:val="center"/>
        </w:trPr>
        <w:tc>
          <w:tcPr>
            <w:tcW w:w="4832" w:type="dxa"/>
            <w:tcBorders>
              <w:top w:val="nil"/>
              <w:left w:val="single" w:sz="8" w:space="0" w:color="000000"/>
              <w:bottom w:val="nil"/>
              <w:right w:val="single" w:sz="8" w:space="0" w:color="000000"/>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Quality &amp; Delivery Framework Agreement</w:t>
            </w: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Requirement</w:t>
            </w:r>
          </w:p>
        </w:tc>
      </w:tr>
      <w:tr w:rsidR="00A956BD" w:rsidRPr="00A956BD" w:rsidTr="004C38CF">
        <w:trPr>
          <w:trHeight w:val="315"/>
          <w:jc w:val="center"/>
        </w:trPr>
        <w:tc>
          <w:tcPr>
            <w:tcW w:w="4832" w:type="dxa"/>
            <w:tcBorders>
              <w:top w:val="nil"/>
              <w:left w:val="single" w:sz="8" w:space="0" w:color="000000"/>
              <w:bottom w:val="single" w:sz="8" w:space="0" w:color="000000"/>
              <w:right w:val="single" w:sz="8" w:space="0" w:color="000000"/>
            </w:tcBorders>
            <w:shd w:val="clear" w:color="000000" w:fill="325083"/>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r>
      <w:tr w:rsidR="00A956BD" w:rsidRPr="00A956BD" w:rsidTr="004C38CF">
        <w:trPr>
          <w:trHeight w:val="300"/>
          <w:jc w:val="center"/>
        </w:trPr>
        <w:tc>
          <w:tcPr>
            <w:tcW w:w="4832" w:type="dxa"/>
            <w:tcBorders>
              <w:top w:val="single" w:sz="4" w:space="0" w:color="auto"/>
              <w:left w:val="single" w:sz="4" w:space="0" w:color="auto"/>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2019/20 EMRTS Requirement through EASC</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0.468</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0.716</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0.897</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0.588</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0.544</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0.491</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0.190</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3.893</w:t>
            </w:r>
          </w:p>
        </w:tc>
      </w:tr>
      <w:tr w:rsidR="00A956BD" w:rsidRPr="00A956BD" w:rsidTr="004C38CF">
        <w:trPr>
          <w:trHeight w:val="300"/>
          <w:jc w:val="center"/>
        </w:trPr>
        <w:tc>
          <w:tcPr>
            <w:tcW w:w="4832" w:type="dxa"/>
            <w:tcBorders>
              <w:top w:val="nil"/>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Healthier Wales 1% System Reallocation (recurrent)</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0.004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0.007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0.008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0.006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0.005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0.004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0.002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0.036 </w:t>
            </w:r>
          </w:p>
        </w:tc>
      </w:tr>
      <w:tr w:rsidR="00A956BD" w:rsidRPr="00A956BD" w:rsidTr="004C38CF">
        <w:trPr>
          <w:trHeight w:val="300"/>
          <w:jc w:val="center"/>
        </w:trPr>
        <w:tc>
          <w:tcPr>
            <w:tcW w:w="4832" w:type="dxa"/>
            <w:tcBorders>
              <w:top w:val="nil"/>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Healthier Wales 1% System Reallocation (recurrent)</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0.016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0.025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0.039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0.018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0.020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0.021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0.011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0.150 </w:t>
            </w:r>
          </w:p>
        </w:tc>
      </w:tr>
      <w:tr w:rsidR="00A956BD" w:rsidRPr="00A956BD" w:rsidTr="004C38CF">
        <w:trPr>
          <w:trHeight w:val="300"/>
          <w:jc w:val="center"/>
        </w:trPr>
        <w:tc>
          <w:tcPr>
            <w:tcW w:w="4832" w:type="dxa"/>
            <w:tcBorders>
              <w:top w:val="nil"/>
              <w:left w:val="single" w:sz="4" w:space="0" w:color="auto"/>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19/20 EMRTS Revised Baseline</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0.479</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0.735</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0.928</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0.600</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0.558</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0.507</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0.199</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4.007</w:t>
            </w:r>
          </w:p>
        </w:tc>
      </w:tr>
      <w:tr w:rsidR="00A956BD" w:rsidRPr="00A956BD" w:rsidTr="004C38CF">
        <w:trPr>
          <w:trHeight w:val="300"/>
          <w:jc w:val="center"/>
        </w:trPr>
        <w:tc>
          <w:tcPr>
            <w:tcW w:w="4832" w:type="dxa"/>
            <w:tcBorders>
              <w:top w:val="nil"/>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2 % uplift</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0.010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0.015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0.019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0.012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0.011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0.010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0.004 </w:t>
            </w:r>
          </w:p>
        </w:tc>
        <w:tc>
          <w:tcPr>
            <w:tcW w:w="1626"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0.080 </w:t>
            </w:r>
          </w:p>
        </w:tc>
      </w:tr>
      <w:tr w:rsidR="00A956BD" w:rsidRPr="00A956BD" w:rsidTr="004C38CF">
        <w:trPr>
          <w:trHeight w:val="300"/>
          <w:jc w:val="center"/>
        </w:trPr>
        <w:tc>
          <w:tcPr>
            <w:tcW w:w="4832" w:type="dxa"/>
            <w:tcBorders>
              <w:top w:val="nil"/>
              <w:left w:val="single" w:sz="4" w:space="0" w:color="auto"/>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2020/21 EMRTS Requirement through EASC</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0.488</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0.749</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0.947</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0.612</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0.570</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0.517</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0.203</w:t>
            </w:r>
          </w:p>
        </w:tc>
        <w:tc>
          <w:tcPr>
            <w:tcW w:w="1626"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4.087</w:t>
            </w:r>
          </w:p>
        </w:tc>
      </w:tr>
    </w:tbl>
    <w:p w:rsidR="00A956BD" w:rsidRPr="00A956BD" w:rsidRDefault="00A956BD" w:rsidP="00A956BD">
      <w:pPr>
        <w:ind w:left="567"/>
      </w:pPr>
    </w:p>
    <w:p w:rsidR="00A956BD" w:rsidRPr="00A956BD" w:rsidRDefault="00A956BD" w:rsidP="00A956BD">
      <w:pPr>
        <w:ind w:left="567"/>
        <w:rPr>
          <w:rFonts w:asciiTheme="majorHAnsi" w:eastAsiaTheme="majorEastAsia" w:hAnsiTheme="majorHAnsi" w:cstheme="majorBidi"/>
          <w:color w:val="1F4D78" w:themeColor="accent1" w:themeShade="7F"/>
          <w:sz w:val="28"/>
          <w:szCs w:val="24"/>
        </w:rPr>
      </w:pPr>
      <w:r w:rsidRPr="00A956BD">
        <w:br w:type="page"/>
      </w:r>
    </w:p>
    <w:p w:rsidR="00A956BD" w:rsidRPr="00A956BD" w:rsidRDefault="00A956BD" w:rsidP="00A956BD">
      <w:pPr>
        <w:keepNext/>
        <w:keepLines/>
        <w:numPr>
          <w:ilvl w:val="2"/>
          <w:numId w:val="0"/>
        </w:numPr>
        <w:spacing w:before="40" w:after="0"/>
        <w:ind w:left="1287" w:right="680" w:hanging="720"/>
        <w:outlineLvl w:val="2"/>
        <w:rPr>
          <w:rFonts w:asciiTheme="majorHAnsi" w:eastAsiaTheme="majorEastAsia" w:hAnsiTheme="majorHAnsi" w:cstheme="majorBidi"/>
          <w:color w:val="1F4D78" w:themeColor="accent1" w:themeShade="7F"/>
          <w:sz w:val="28"/>
          <w:szCs w:val="24"/>
        </w:rPr>
      </w:pPr>
      <w:r w:rsidRPr="00A956BD">
        <w:rPr>
          <w:rFonts w:asciiTheme="majorHAnsi" w:eastAsiaTheme="majorEastAsia" w:hAnsiTheme="majorHAnsi" w:cstheme="majorBidi"/>
          <w:color w:val="1F4D78" w:themeColor="accent1" w:themeShade="7F"/>
          <w:sz w:val="28"/>
          <w:szCs w:val="24"/>
        </w:rPr>
        <w:lastRenderedPageBreak/>
        <w:t>National Collaborative Commissioning Unit 2020/21 Financial Values</w:t>
      </w:r>
    </w:p>
    <w:tbl>
      <w:tblPr>
        <w:tblW w:w="19860" w:type="dxa"/>
        <w:tblInd w:w="743" w:type="dxa"/>
        <w:tblLook w:val="04A0" w:firstRow="1" w:lastRow="0" w:firstColumn="1" w:lastColumn="0" w:noHBand="0" w:noVBand="1"/>
      </w:tblPr>
      <w:tblGrid>
        <w:gridCol w:w="5260"/>
        <w:gridCol w:w="1825"/>
        <w:gridCol w:w="1825"/>
        <w:gridCol w:w="1825"/>
        <w:gridCol w:w="1825"/>
        <w:gridCol w:w="1825"/>
        <w:gridCol w:w="1825"/>
        <w:gridCol w:w="1825"/>
        <w:gridCol w:w="1825"/>
      </w:tblGrid>
      <w:tr w:rsidR="00A956BD" w:rsidRPr="00A956BD" w:rsidTr="004C38CF">
        <w:trPr>
          <w:trHeight w:val="300"/>
        </w:trPr>
        <w:tc>
          <w:tcPr>
            <w:tcW w:w="5260" w:type="dxa"/>
            <w:tcBorders>
              <w:top w:val="single" w:sz="8" w:space="0" w:color="000000"/>
              <w:left w:val="single" w:sz="8" w:space="0" w:color="000000"/>
              <w:bottom w:val="nil"/>
              <w:right w:val="single" w:sz="8" w:space="0" w:color="000000"/>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National Collaborative Commissioning Unit 2020/21</w:t>
            </w:r>
          </w:p>
        </w:tc>
        <w:tc>
          <w:tcPr>
            <w:tcW w:w="1825"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Swansea Bay UHB</w:t>
            </w:r>
          </w:p>
        </w:tc>
        <w:tc>
          <w:tcPr>
            <w:tcW w:w="1825"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Aneurin Bevan UHB</w:t>
            </w:r>
          </w:p>
        </w:tc>
        <w:tc>
          <w:tcPr>
            <w:tcW w:w="1825"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Betsi Cadwaladr UHB</w:t>
            </w:r>
          </w:p>
        </w:tc>
        <w:tc>
          <w:tcPr>
            <w:tcW w:w="1825"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Cardiff &amp; Vale UHB</w:t>
            </w:r>
          </w:p>
        </w:tc>
        <w:tc>
          <w:tcPr>
            <w:tcW w:w="1825"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xml:space="preserve">Cwm Taf </w:t>
            </w:r>
            <w:r w:rsidR="004C38CF">
              <w:rPr>
                <w:rFonts w:ascii="Calibri" w:eastAsia="Times New Roman" w:hAnsi="Calibri" w:cs="Times New Roman"/>
                <w:b/>
                <w:bCs/>
                <w:color w:val="D7B37E"/>
                <w:lang w:eastAsia="en-GB"/>
              </w:rPr>
              <w:t xml:space="preserve"> Morgannwg </w:t>
            </w:r>
            <w:r w:rsidRPr="00A956BD">
              <w:rPr>
                <w:rFonts w:ascii="Calibri" w:eastAsia="Times New Roman" w:hAnsi="Calibri" w:cs="Times New Roman"/>
                <w:b/>
                <w:bCs/>
                <w:color w:val="D7B37E"/>
                <w:lang w:eastAsia="en-GB"/>
              </w:rPr>
              <w:t>UHB</w:t>
            </w:r>
          </w:p>
        </w:tc>
        <w:tc>
          <w:tcPr>
            <w:tcW w:w="1825"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4C38CF"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xml:space="preserve">Hywel Dda </w:t>
            </w:r>
          </w:p>
          <w:p w:rsidR="00A956BD" w:rsidRPr="00A956BD" w:rsidRDefault="00A956BD" w:rsidP="004C38CF">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UHB</w:t>
            </w:r>
          </w:p>
        </w:tc>
        <w:tc>
          <w:tcPr>
            <w:tcW w:w="1825" w:type="dxa"/>
            <w:vMerge w:val="restart"/>
            <w:tcBorders>
              <w:top w:val="single" w:sz="8" w:space="0" w:color="000000"/>
              <w:left w:val="single" w:sz="8" w:space="0" w:color="000000"/>
              <w:bottom w:val="single" w:sz="8" w:space="0" w:color="000000"/>
              <w:right w:val="single" w:sz="8" w:space="0" w:color="000000"/>
            </w:tcBorders>
            <w:shd w:val="clear" w:color="000000" w:fill="325083"/>
            <w:hideMark/>
          </w:tcPr>
          <w:p w:rsidR="004C38CF" w:rsidRDefault="00A956BD" w:rsidP="004C38CF">
            <w:pPr>
              <w:spacing w:after="0" w:line="240" w:lineRule="auto"/>
              <w:ind w:firstLineChars="100" w:firstLine="221"/>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xml:space="preserve">Powys </w:t>
            </w:r>
          </w:p>
          <w:p w:rsidR="00A956BD" w:rsidRPr="00A956BD" w:rsidRDefault="00A956BD" w:rsidP="004C38CF">
            <w:pPr>
              <w:spacing w:after="0" w:line="240" w:lineRule="auto"/>
              <w:ind w:firstLineChars="100" w:firstLine="221"/>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THB</w:t>
            </w:r>
          </w:p>
        </w:tc>
        <w:tc>
          <w:tcPr>
            <w:tcW w:w="1825" w:type="dxa"/>
            <w:tcBorders>
              <w:top w:val="single" w:sz="8" w:space="0" w:color="000000"/>
              <w:left w:val="nil"/>
              <w:bottom w:val="nil"/>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EASC</w:t>
            </w:r>
          </w:p>
        </w:tc>
      </w:tr>
      <w:tr w:rsidR="00A956BD" w:rsidRPr="00A956BD" w:rsidTr="00AD5EDD">
        <w:trPr>
          <w:trHeight w:val="315"/>
        </w:trPr>
        <w:tc>
          <w:tcPr>
            <w:tcW w:w="5260" w:type="dxa"/>
            <w:tcBorders>
              <w:top w:val="nil"/>
              <w:left w:val="single" w:sz="8" w:space="0" w:color="000000"/>
              <w:bottom w:val="nil"/>
              <w:right w:val="single" w:sz="8" w:space="0" w:color="000000"/>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w:t>
            </w:r>
          </w:p>
        </w:tc>
        <w:tc>
          <w:tcPr>
            <w:tcW w:w="1825" w:type="dxa"/>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1825" w:type="dxa"/>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1825" w:type="dxa"/>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1825" w:type="dxa"/>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1825" w:type="dxa"/>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1825" w:type="dxa"/>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1825" w:type="dxa"/>
            <w:vMerge/>
            <w:tcBorders>
              <w:top w:val="single" w:sz="8" w:space="0" w:color="000000"/>
              <w:left w:val="single" w:sz="8" w:space="0" w:color="000000"/>
              <w:bottom w:val="single" w:sz="8" w:space="0" w:color="000000"/>
              <w:right w:val="single" w:sz="8" w:space="0" w:color="000000"/>
            </w:tcBorders>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p>
        </w:tc>
        <w:tc>
          <w:tcPr>
            <w:tcW w:w="1825"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Requirement</w:t>
            </w:r>
          </w:p>
        </w:tc>
      </w:tr>
      <w:tr w:rsidR="00A956BD" w:rsidRPr="00A956BD" w:rsidTr="00AD5EDD">
        <w:trPr>
          <w:trHeight w:val="315"/>
        </w:trPr>
        <w:tc>
          <w:tcPr>
            <w:tcW w:w="5260" w:type="dxa"/>
            <w:tcBorders>
              <w:top w:val="nil"/>
              <w:left w:val="single" w:sz="8" w:space="0" w:color="000000"/>
              <w:bottom w:val="single" w:sz="8" w:space="0" w:color="000000"/>
              <w:right w:val="single" w:sz="8" w:space="0" w:color="000000"/>
            </w:tcBorders>
            <w:shd w:val="clear" w:color="000000" w:fill="325083"/>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w:t>
            </w:r>
          </w:p>
        </w:tc>
        <w:tc>
          <w:tcPr>
            <w:tcW w:w="1825"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825"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825"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825"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825"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825"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825"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ind w:firstLineChars="200" w:firstLine="442"/>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c>
          <w:tcPr>
            <w:tcW w:w="1825" w:type="dxa"/>
            <w:tcBorders>
              <w:top w:val="nil"/>
              <w:left w:val="nil"/>
              <w:bottom w:val="single" w:sz="8" w:space="0" w:color="000000"/>
              <w:right w:val="single" w:sz="8" w:space="0" w:color="000000"/>
            </w:tcBorders>
            <w:shd w:val="clear" w:color="000000" w:fill="325083"/>
            <w:vAlign w:val="center"/>
            <w:hideMark/>
          </w:tcPr>
          <w:p w:rsidR="00A956BD" w:rsidRPr="00A956BD" w:rsidRDefault="00A956BD" w:rsidP="00A956BD">
            <w:pPr>
              <w:spacing w:after="0" w:line="240" w:lineRule="auto"/>
              <w:jc w:val="center"/>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£m</w:t>
            </w:r>
          </w:p>
        </w:tc>
      </w:tr>
      <w:tr w:rsidR="00A956BD" w:rsidRPr="00A956BD" w:rsidTr="00AD5EDD">
        <w:trPr>
          <w:trHeight w:val="300"/>
        </w:trPr>
        <w:tc>
          <w:tcPr>
            <w:tcW w:w="5260" w:type="dxa"/>
            <w:tcBorders>
              <w:top w:val="single" w:sz="4" w:space="0" w:color="auto"/>
              <w:left w:val="single" w:sz="4" w:space="0" w:color="auto"/>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2019/20 NCCU Baseline</w:t>
            </w:r>
          </w:p>
        </w:tc>
        <w:tc>
          <w:tcPr>
            <w:tcW w:w="1825"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w:t>
            </w:r>
          </w:p>
        </w:tc>
        <w:tc>
          <w:tcPr>
            <w:tcW w:w="1825"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w:t>
            </w:r>
          </w:p>
        </w:tc>
        <w:tc>
          <w:tcPr>
            <w:tcW w:w="1825"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w:t>
            </w:r>
          </w:p>
        </w:tc>
        <w:tc>
          <w:tcPr>
            <w:tcW w:w="1825"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w:t>
            </w:r>
          </w:p>
        </w:tc>
        <w:tc>
          <w:tcPr>
            <w:tcW w:w="1825"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w:t>
            </w:r>
          </w:p>
        </w:tc>
        <w:tc>
          <w:tcPr>
            <w:tcW w:w="1825"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w:t>
            </w:r>
          </w:p>
        </w:tc>
        <w:tc>
          <w:tcPr>
            <w:tcW w:w="1825"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w:t>
            </w:r>
          </w:p>
        </w:tc>
        <w:tc>
          <w:tcPr>
            <w:tcW w:w="1825" w:type="dxa"/>
            <w:tcBorders>
              <w:top w:val="single" w:sz="4" w:space="0" w:color="auto"/>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 </w:t>
            </w:r>
          </w:p>
        </w:tc>
      </w:tr>
      <w:tr w:rsidR="00A956BD" w:rsidRPr="00A956BD" w:rsidTr="00AD5EDD">
        <w:trPr>
          <w:trHeight w:val="300"/>
        </w:trPr>
        <w:tc>
          <w:tcPr>
            <w:tcW w:w="5260" w:type="dxa"/>
            <w:tcBorders>
              <w:top w:val="nil"/>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EASC Commissioning Support</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0.052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0.086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0.132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0.061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0.066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0.070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0.038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0.506 </w:t>
            </w:r>
          </w:p>
        </w:tc>
      </w:tr>
      <w:tr w:rsidR="00A956BD" w:rsidRPr="00A956BD" w:rsidTr="00AD5EDD">
        <w:trPr>
          <w:trHeight w:val="300"/>
        </w:trPr>
        <w:tc>
          <w:tcPr>
            <w:tcW w:w="5260" w:type="dxa"/>
            <w:tcBorders>
              <w:top w:val="nil"/>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NPUC Clinical Lead</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0.006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0.010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0.016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0.007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0.008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0.008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0.005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0.060 </w:t>
            </w:r>
          </w:p>
        </w:tc>
      </w:tr>
      <w:tr w:rsidR="00A956BD" w:rsidRPr="00A956BD" w:rsidTr="00AD5EDD">
        <w:trPr>
          <w:trHeight w:val="300"/>
        </w:trPr>
        <w:tc>
          <w:tcPr>
            <w:tcW w:w="5260" w:type="dxa"/>
            <w:tcBorders>
              <w:top w:val="nil"/>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Quality Assurance &amp; Improvement Services - MH and LD</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0.081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0.132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0.203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0.094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0.102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0.108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0.059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0.779 </w:t>
            </w:r>
          </w:p>
        </w:tc>
      </w:tr>
      <w:tr w:rsidR="00A956BD" w:rsidRPr="00A956BD" w:rsidTr="00AD5EDD">
        <w:trPr>
          <w:trHeight w:val="300"/>
        </w:trPr>
        <w:tc>
          <w:tcPr>
            <w:tcW w:w="5260" w:type="dxa"/>
            <w:tcBorders>
              <w:top w:val="nil"/>
              <w:left w:val="single" w:sz="4" w:space="0" w:color="auto"/>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2019/20 NCCU Baseline</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0.139</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0.227</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0.351</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0.163</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0.175</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0.187</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0.102</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1.345</w:t>
            </w:r>
          </w:p>
        </w:tc>
      </w:tr>
      <w:tr w:rsidR="00A956BD" w:rsidRPr="00A956BD" w:rsidTr="00AD5EDD">
        <w:trPr>
          <w:trHeight w:val="300"/>
        </w:trPr>
        <w:tc>
          <w:tcPr>
            <w:tcW w:w="5260" w:type="dxa"/>
            <w:tcBorders>
              <w:top w:val="nil"/>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Healthier Wales 1% System Reallocation (recurrent)</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0.008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0.014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0.021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0.010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0.010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0.011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0.006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0.080 </w:t>
            </w:r>
          </w:p>
        </w:tc>
      </w:tr>
      <w:tr w:rsidR="00A956BD" w:rsidRPr="00A956BD" w:rsidTr="00AD5EDD">
        <w:trPr>
          <w:trHeight w:val="300"/>
        </w:trPr>
        <w:tc>
          <w:tcPr>
            <w:tcW w:w="5260" w:type="dxa"/>
            <w:tcBorders>
              <w:top w:val="nil"/>
              <w:left w:val="single" w:sz="4" w:space="0" w:color="auto"/>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2019/20 NCCU Revised Baseline</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0.147</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0.241</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0.372</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0.173</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0.186</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0.198</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0.108</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1.425</w:t>
            </w:r>
          </w:p>
        </w:tc>
      </w:tr>
      <w:tr w:rsidR="00A956BD" w:rsidRPr="00A956BD" w:rsidTr="00AD5EDD">
        <w:trPr>
          <w:trHeight w:val="300"/>
        </w:trPr>
        <w:tc>
          <w:tcPr>
            <w:tcW w:w="5260" w:type="dxa"/>
            <w:tcBorders>
              <w:top w:val="nil"/>
              <w:left w:val="single" w:sz="4" w:space="0" w:color="auto"/>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2 % uplift</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0.003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0.006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0.006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0.004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0.004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0.003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0.002 </w:t>
            </w:r>
          </w:p>
        </w:tc>
        <w:tc>
          <w:tcPr>
            <w:tcW w:w="1825" w:type="dxa"/>
            <w:tcBorders>
              <w:top w:val="nil"/>
              <w:left w:val="nil"/>
              <w:bottom w:val="single" w:sz="4" w:space="0" w:color="auto"/>
              <w:right w:val="single" w:sz="4" w:space="0" w:color="auto"/>
            </w:tcBorders>
            <w:shd w:val="clear" w:color="auto" w:fill="auto"/>
            <w:noWrap/>
            <w:vAlign w:val="bottom"/>
            <w:hideMark/>
          </w:tcPr>
          <w:p w:rsidR="00A956BD" w:rsidRPr="00A956BD" w:rsidRDefault="00A956BD" w:rsidP="00A956BD">
            <w:pPr>
              <w:spacing w:after="0" w:line="240" w:lineRule="auto"/>
              <w:rPr>
                <w:rFonts w:ascii="Calibri" w:eastAsia="Times New Roman" w:hAnsi="Calibri" w:cs="Times New Roman"/>
                <w:color w:val="000000"/>
                <w:lang w:eastAsia="en-GB"/>
              </w:rPr>
            </w:pPr>
            <w:r w:rsidRPr="00A956BD">
              <w:rPr>
                <w:rFonts w:ascii="Calibri" w:eastAsia="Times New Roman" w:hAnsi="Calibri" w:cs="Times New Roman"/>
                <w:color w:val="000000"/>
                <w:lang w:eastAsia="en-GB"/>
              </w:rPr>
              <w:t xml:space="preserve">                          0.028 </w:t>
            </w:r>
          </w:p>
        </w:tc>
      </w:tr>
      <w:tr w:rsidR="00A956BD" w:rsidRPr="00A956BD" w:rsidTr="00AD5EDD">
        <w:trPr>
          <w:trHeight w:val="300"/>
        </w:trPr>
        <w:tc>
          <w:tcPr>
            <w:tcW w:w="5260" w:type="dxa"/>
            <w:tcBorders>
              <w:top w:val="nil"/>
              <w:left w:val="single" w:sz="4" w:space="0" w:color="auto"/>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2020/21 NCCU Requirement through EASC</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0.150</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0.247</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0.379</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0.177</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0.190</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0.201</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0.109</w:t>
            </w:r>
          </w:p>
        </w:tc>
        <w:tc>
          <w:tcPr>
            <w:tcW w:w="1825" w:type="dxa"/>
            <w:tcBorders>
              <w:top w:val="nil"/>
              <w:left w:val="nil"/>
              <w:bottom w:val="single" w:sz="4" w:space="0" w:color="auto"/>
              <w:right w:val="single" w:sz="4" w:space="0" w:color="auto"/>
            </w:tcBorders>
            <w:shd w:val="clear" w:color="000000" w:fill="325083"/>
            <w:vAlign w:val="center"/>
            <w:hideMark/>
          </w:tcPr>
          <w:p w:rsidR="00A956BD" w:rsidRPr="00A956BD" w:rsidRDefault="00A956BD" w:rsidP="00A956BD">
            <w:pPr>
              <w:spacing w:after="0" w:line="240" w:lineRule="auto"/>
              <w:jc w:val="right"/>
              <w:rPr>
                <w:rFonts w:ascii="Calibri" w:eastAsia="Times New Roman" w:hAnsi="Calibri" w:cs="Times New Roman"/>
                <w:b/>
                <w:bCs/>
                <w:color w:val="D7B37E"/>
                <w:lang w:eastAsia="en-GB"/>
              </w:rPr>
            </w:pPr>
            <w:r w:rsidRPr="00A956BD">
              <w:rPr>
                <w:rFonts w:ascii="Calibri" w:eastAsia="Times New Roman" w:hAnsi="Calibri" w:cs="Times New Roman"/>
                <w:b/>
                <w:bCs/>
                <w:color w:val="D7B37E"/>
                <w:lang w:eastAsia="en-GB"/>
              </w:rPr>
              <w:t>1.453</w:t>
            </w:r>
          </w:p>
        </w:tc>
      </w:tr>
    </w:tbl>
    <w:p w:rsidR="00A956BD" w:rsidRPr="00A956BD" w:rsidRDefault="00A956BD" w:rsidP="00A956BD">
      <w:pPr>
        <w:ind w:left="567" w:right="680"/>
      </w:pPr>
    </w:p>
    <w:p w:rsidR="00A956BD" w:rsidRPr="00A956BD" w:rsidRDefault="00A956BD" w:rsidP="00A956BD">
      <w:pPr>
        <w:ind w:right="680"/>
        <w:sectPr w:rsidR="00A956BD" w:rsidRPr="00A956BD" w:rsidSect="00661AB6">
          <w:pgSz w:w="23814" w:h="16840" w:code="8"/>
          <w:pgMar w:top="1440" w:right="851" w:bottom="1440" w:left="567" w:header="709" w:footer="709" w:gutter="0"/>
          <w:cols w:space="708"/>
          <w:docGrid w:linePitch="360"/>
        </w:sectPr>
      </w:pPr>
    </w:p>
    <w:p w:rsidR="00D77EB9" w:rsidRDefault="00D77EB9"/>
    <w:sectPr w:rsidR="00D77EB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E35709"/>
    <w:multiLevelType w:val="hybridMultilevel"/>
    <w:tmpl w:val="42C03648"/>
    <w:lvl w:ilvl="0" w:tplc="542EC67A">
      <w:numFmt w:val="bullet"/>
      <w:lvlText w:val=""/>
      <w:lvlJc w:val="left"/>
      <w:pPr>
        <w:ind w:left="1854" w:hanging="360"/>
      </w:pPr>
      <w:rPr>
        <w:rFonts w:ascii="Symbol" w:eastAsia="Symbol" w:hAnsi="Symbol" w:cs="Symbol" w:hint="default"/>
        <w:w w:val="100"/>
        <w:sz w:val="22"/>
        <w:szCs w:val="22"/>
      </w:rPr>
    </w:lvl>
    <w:lvl w:ilvl="1" w:tplc="542EC67A">
      <w:numFmt w:val="bullet"/>
      <w:lvlText w:val=""/>
      <w:lvlJc w:val="left"/>
      <w:pPr>
        <w:ind w:left="2574" w:hanging="360"/>
      </w:pPr>
      <w:rPr>
        <w:rFonts w:ascii="Symbol" w:eastAsia="Symbol" w:hAnsi="Symbol" w:cs="Symbol" w:hint="default"/>
        <w:w w:val="100"/>
        <w:sz w:val="22"/>
        <w:szCs w:val="22"/>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 w15:restartNumberingAfterBreak="0">
    <w:nsid w:val="107E685E"/>
    <w:multiLevelType w:val="hybridMultilevel"/>
    <w:tmpl w:val="76A87296"/>
    <w:lvl w:ilvl="0" w:tplc="542EC67A">
      <w:numFmt w:val="bullet"/>
      <w:lvlText w:val=""/>
      <w:lvlJc w:val="left"/>
      <w:pPr>
        <w:ind w:left="963" w:hanging="284"/>
      </w:pPr>
      <w:rPr>
        <w:rFonts w:ascii="Symbol" w:eastAsia="Symbol" w:hAnsi="Symbol" w:cs="Symbol" w:hint="default"/>
        <w:w w:val="100"/>
        <w:sz w:val="22"/>
        <w:szCs w:val="22"/>
      </w:rPr>
    </w:lvl>
    <w:lvl w:ilvl="1" w:tplc="A89262C4">
      <w:numFmt w:val="bullet"/>
      <w:lvlText w:val="•"/>
      <w:lvlJc w:val="left"/>
      <w:pPr>
        <w:ind w:left="1852" w:hanging="284"/>
      </w:pPr>
      <w:rPr>
        <w:rFonts w:hint="default"/>
      </w:rPr>
    </w:lvl>
    <w:lvl w:ilvl="2" w:tplc="6B08AC06">
      <w:numFmt w:val="bullet"/>
      <w:lvlText w:val="•"/>
      <w:lvlJc w:val="left"/>
      <w:pPr>
        <w:ind w:left="2745" w:hanging="284"/>
      </w:pPr>
      <w:rPr>
        <w:rFonts w:hint="default"/>
      </w:rPr>
    </w:lvl>
    <w:lvl w:ilvl="3" w:tplc="E5466616">
      <w:numFmt w:val="bullet"/>
      <w:lvlText w:val="•"/>
      <w:lvlJc w:val="left"/>
      <w:pPr>
        <w:ind w:left="3637" w:hanging="284"/>
      </w:pPr>
      <w:rPr>
        <w:rFonts w:hint="default"/>
      </w:rPr>
    </w:lvl>
    <w:lvl w:ilvl="4" w:tplc="C128A46A">
      <w:numFmt w:val="bullet"/>
      <w:lvlText w:val="•"/>
      <w:lvlJc w:val="left"/>
      <w:pPr>
        <w:ind w:left="4530" w:hanging="284"/>
      </w:pPr>
      <w:rPr>
        <w:rFonts w:hint="default"/>
      </w:rPr>
    </w:lvl>
    <w:lvl w:ilvl="5" w:tplc="E6249FE0">
      <w:numFmt w:val="bullet"/>
      <w:lvlText w:val="•"/>
      <w:lvlJc w:val="left"/>
      <w:pPr>
        <w:ind w:left="5423" w:hanging="284"/>
      </w:pPr>
      <w:rPr>
        <w:rFonts w:hint="default"/>
      </w:rPr>
    </w:lvl>
    <w:lvl w:ilvl="6" w:tplc="C130CE3E">
      <w:numFmt w:val="bullet"/>
      <w:lvlText w:val="•"/>
      <w:lvlJc w:val="left"/>
      <w:pPr>
        <w:ind w:left="6315" w:hanging="284"/>
      </w:pPr>
      <w:rPr>
        <w:rFonts w:hint="default"/>
      </w:rPr>
    </w:lvl>
    <w:lvl w:ilvl="7" w:tplc="BB16DF68">
      <w:numFmt w:val="bullet"/>
      <w:lvlText w:val="•"/>
      <w:lvlJc w:val="left"/>
      <w:pPr>
        <w:ind w:left="7208" w:hanging="284"/>
      </w:pPr>
      <w:rPr>
        <w:rFonts w:hint="default"/>
      </w:rPr>
    </w:lvl>
    <w:lvl w:ilvl="8" w:tplc="598A9E18">
      <w:numFmt w:val="bullet"/>
      <w:lvlText w:val="•"/>
      <w:lvlJc w:val="left"/>
      <w:pPr>
        <w:ind w:left="8101" w:hanging="284"/>
      </w:pPr>
      <w:rPr>
        <w:rFonts w:hint="default"/>
      </w:rPr>
    </w:lvl>
  </w:abstractNum>
  <w:abstractNum w:abstractNumId="2" w15:restartNumberingAfterBreak="0">
    <w:nsid w:val="12A56578"/>
    <w:multiLevelType w:val="multilevel"/>
    <w:tmpl w:val="8CC4D3F6"/>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198245A8"/>
    <w:multiLevelType w:val="hybridMultilevel"/>
    <w:tmpl w:val="FA68218C"/>
    <w:lvl w:ilvl="0" w:tplc="08090001">
      <w:start w:val="1"/>
      <w:numFmt w:val="bullet"/>
      <w:lvlText w:val=""/>
      <w:lvlJc w:val="left"/>
      <w:pPr>
        <w:ind w:left="966" w:hanging="284"/>
      </w:pPr>
      <w:rPr>
        <w:rFonts w:ascii="Symbol" w:hAnsi="Symbol" w:hint="default"/>
        <w:w w:val="100"/>
        <w:sz w:val="22"/>
        <w:szCs w:val="22"/>
      </w:rPr>
    </w:lvl>
    <w:lvl w:ilvl="1" w:tplc="BA0013CC">
      <w:numFmt w:val="bullet"/>
      <w:lvlText w:val="•"/>
      <w:lvlJc w:val="left"/>
      <w:pPr>
        <w:ind w:left="1892" w:hanging="284"/>
      </w:pPr>
      <w:rPr>
        <w:rFonts w:hint="default"/>
      </w:rPr>
    </w:lvl>
    <w:lvl w:ilvl="2" w:tplc="E7A8A83A">
      <w:numFmt w:val="bullet"/>
      <w:lvlText w:val="•"/>
      <w:lvlJc w:val="left"/>
      <w:pPr>
        <w:ind w:left="2825" w:hanging="284"/>
      </w:pPr>
      <w:rPr>
        <w:rFonts w:hint="default"/>
      </w:rPr>
    </w:lvl>
    <w:lvl w:ilvl="3" w:tplc="33D4B344">
      <w:numFmt w:val="bullet"/>
      <w:lvlText w:val="•"/>
      <w:lvlJc w:val="left"/>
      <w:pPr>
        <w:ind w:left="3757" w:hanging="284"/>
      </w:pPr>
      <w:rPr>
        <w:rFonts w:hint="default"/>
      </w:rPr>
    </w:lvl>
    <w:lvl w:ilvl="4" w:tplc="A44C7C60">
      <w:numFmt w:val="bullet"/>
      <w:lvlText w:val="•"/>
      <w:lvlJc w:val="left"/>
      <w:pPr>
        <w:ind w:left="4690" w:hanging="284"/>
      </w:pPr>
      <w:rPr>
        <w:rFonts w:hint="default"/>
      </w:rPr>
    </w:lvl>
    <w:lvl w:ilvl="5" w:tplc="F3ACB092">
      <w:numFmt w:val="bullet"/>
      <w:lvlText w:val="•"/>
      <w:lvlJc w:val="left"/>
      <w:pPr>
        <w:ind w:left="5623" w:hanging="284"/>
      </w:pPr>
      <w:rPr>
        <w:rFonts w:hint="default"/>
      </w:rPr>
    </w:lvl>
    <w:lvl w:ilvl="6" w:tplc="50D0A70C">
      <w:numFmt w:val="bullet"/>
      <w:lvlText w:val="•"/>
      <w:lvlJc w:val="left"/>
      <w:pPr>
        <w:ind w:left="6555" w:hanging="284"/>
      </w:pPr>
      <w:rPr>
        <w:rFonts w:hint="default"/>
      </w:rPr>
    </w:lvl>
    <w:lvl w:ilvl="7" w:tplc="E8FE0EB0">
      <w:numFmt w:val="bullet"/>
      <w:lvlText w:val="•"/>
      <w:lvlJc w:val="left"/>
      <w:pPr>
        <w:ind w:left="7488" w:hanging="284"/>
      </w:pPr>
      <w:rPr>
        <w:rFonts w:hint="default"/>
      </w:rPr>
    </w:lvl>
    <w:lvl w:ilvl="8" w:tplc="F078BDDA">
      <w:numFmt w:val="bullet"/>
      <w:lvlText w:val="•"/>
      <w:lvlJc w:val="left"/>
      <w:pPr>
        <w:ind w:left="8421" w:hanging="284"/>
      </w:pPr>
      <w:rPr>
        <w:rFonts w:hint="default"/>
      </w:rPr>
    </w:lvl>
  </w:abstractNum>
  <w:abstractNum w:abstractNumId="4" w15:restartNumberingAfterBreak="0">
    <w:nsid w:val="1A6F4DCE"/>
    <w:multiLevelType w:val="hybridMultilevel"/>
    <w:tmpl w:val="1E227500"/>
    <w:lvl w:ilvl="0" w:tplc="542EC67A">
      <w:numFmt w:val="bullet"/>
      <w:lvlText w:val=""/>
      <w:lvlJc w:val="left"/>
      <w:pPr>
        <w:ind w:left="963" w:hanging="284"/>
      </w:pPr>
      <w:rPr>
        <w:rFonts w:ascii="Symbol" w:eastAsia="Symbol" w:hAnsi="Symbol" w:cs="Symbol" w:hint="default"/>
        <w:w w:val="100"/>
        <w:sz w:val="22"/>
        <w:szCs w:val="22"/>
      </w:rPr>
    </w:lvl>
    <w:lvl w:ilvl="1" w:tplc="08090001">
      <w:start w:val="1"/>
      <w:numFmt w:val="bullet"/>
      <w:lvlText w:val=""/>
      <w:lvlJc w:val="left"/>
      <w:pPr>
        <w:ind w:left="1852" w:hanging="284"/>
      </w:pPr>
      <w:rPr>
        <w:rFonts w:ascii="Symbol" w:hAnsi="Symbol" w:hint="default"/>
      </w:rPr>
    </w:lvl>
    <w:lvl w:ilvl="2" w:tplc="6B08AC06">
      <w:numFmt w:val="bullet"/>
      <w:lvlText w:val="•"/>
      <w:lvlJc w:val="left"/>
      <w:pPr>
        <w:ind w:left="2745" w:hanging="284"/>
      </w:pPr>
      <w:rPr>
        <w:rFonts w:hint="default"/>
      </w:rPr>
    </w:lvl>
    <w:lvl w:ilvl="3" w:tplc="E5466616">
      <w:numFmt w:val="bullet"/>
      <w:lvlText w:val="•"/>
      <w:lvlJc w:val="left"/>
      <w:pPr>
        <w:ind w:left="3637" w:hanging="284"/>
      </w:pPr>
      <w:rPr>
        <w:rFonts w:hint="default"/>
      </w:rPr>
    </w:lvl>
    <w:lvl w:ilvl="4" w:tplc="C128A46A">
      <w:numFmt w:val="bullet"/>
      <w:lvlText w:val="•"/>
      <w:lvlJc w:val="left"/>
      <w:pPr>
        <w:ind w:left="4530" w:hanging="284"/>
      </w:pPr>
      <w:rPr>
        <w:rFonts w:hint="default"/>
      </w:rPr>
    </w:lvl>
    <w:lvl w:ilvl="5" w:tplc="E6249FE0">
      <w:numFmt w:val="bullet"/>
      <w:lvlText w:val="•"/>
      <w:lvlJc w:val="left"/>
      <w:pPr>
        <w:ind w:left="5423" w:hanging="284"/>
      </w:pPr>
      <w:rPr>
        <w:rFonts w:hint="default"/>
      </w:rPr>
    </w:lvl>
    <w:lvl w:ilvl="6" w:tplc="C130CE3E">
      <w:numFmt w:val="bullet"/>
      <w:lvlText w:val="•"/>
      <w:lvlJc w:val="left"/>
      <w:pPr>
        <w:ind w:left="6315" w:hanging="284"/>
      </w:pPr>
      <w:rPr>
        <w:rFonts w:hint="default"/>
      </w:rPr>
    </w:lvl>
    <w:lvl w:ilvl="7" w:tplc="BB16DF68">
      <w:numFmt w:val="bullet"/>
      <w:lvlText w:val="•"/>
      <w:lvlJc w:val="left"/>
      <w:pPr>
        <w:ind w:left="7208" w:hanging="284"/>
      </w:pPr>
      <w:rPr>
        <w:rFonts w:hint="default"/>
      </w:rPr>
    </w:lvl>
    <w:lvl w:ilvl="8" w:tplc="598A9E18">
      <w:numFmt w:val="bullet"/>
      <w:lvlText w:val="•"/>
      <w:lvlJc w:val="left"/>
      <w:pPr>
        <w:ind w:left="8101" w:hanging="284"/>
      </w:pPr>
      <w:rPr>
        <w:rFonts w:hint="default"/>
      </w:rPr>
    </w:lvl>
  </w:abstractNum>
  <w:abstractNum w:abstractNumId="5" w15:restartNumberingAfterBreak="0">
    <w:nsid w:val="318E5D35"/>
    <w:multiLevelType w:val="hybridMultilevel"/>
    <w:tmpl w:val="FC4CBAA4"/>
    <w:lvl w:ilvl="0" w:tplc="08090001">
      <w:start w:val="1"/>
      <w:numFmt w:val="bullet"/>
      <w:lvlText w:val=""/>
      <w:lvlJc w:val="left"/>
      <w:pPr>
        <w:ind w:left="766" w:hanging="360"/>
      </w:pPr>
      <w:rPr>
        <w:rFonts w:ascii="Symbol" w:hAnsi="Symbol" w:hint="default"/>
      </w:rPr>
    </w:lvl>
    <w:lvl w:ilvl="1" w:tplc="B9D6EDBA">
      <w:numFmt w:val="bullet"/>
      <w:lvlText w:val="·"/>
      <w:lvlJc w:val="left"/>
      <w:pPr>
        <w:ind w:left="1526" w:hanging="400"/>
      </w:pPr>
      <w:rPr>
        <w:rFonts w:ascii="Calibri" w:eastAsiaTheme="minorHAnsi" w:hAnsi="Calibri" w:cs="Calibri" w:hint="default"/>
      </w:rPr>
    </w:lvl>
    <w:lvl w:ilvl="2" w:tplc="08090005" w:tentative="1">
      <w:start w:val="1"/>
      <w:numFmt w:val="bullet"/>
      <w:lvlText w:val=""/>
      <w:lvlJc w:val="left"/>
      <w:pPr>
        <w:ind w:left="2206" w:hanging="360"/>
      </w:pPr>
      <w:rPr>
        <w:rFonts w:ascii="Wingdings" w:hAnsi="Wingdings" w:hint="default"/>
      </w:rPr>
    </w:lvl>
    <w:lvl w:ilvl="3" w:tplc="08090001" w:tentative="1">
      <w:start w:val="1"/>
      <w:numFmt w:val="bullet"/>
      <w:lvlText w:val=""/>
      <w:lvlJc w:val="left"/>
      <w:pPr>
        <w:ind w:left="2926" w:hanging="360"/>
      </w:pPr>
      <w:rPr>
        <w:rFonts w:ascii="Symbol" w:hAnsi="Symbol" w:hint="default"/>
      </w:rPr>
    </w:lvl>
    <w:lvl w:ilvl="4" w:tplc="08090003" w:tentative="1">
      <w:start w:val="1"/>
      <w:numFmt w:val="bullet"/>
      <w:lvlText w:val="o"/>
      <w:lvlJc w:val="left"/>
      <w:pPr>
        <w:ind w:left="3646" w:hanging="360"/>
      </w:pPr>
      <w:rPr>
        <w:rFonts w:ascii="Courier New" w:hAnsi="Courier New" w:cs="Courier New" w:hint="default"/>
      </w:rPr>
    </w:lvl>
    <w:lvl w:ilvl="5" w:tplc="08090005" w:tentative="1">
      <w:start w:val="1"/>
      <w:numFmt w:val="bullet"/>
      <w:lvlText w:val=""/>
      <w:lvlJc w:val="left"/>
      <w:pPr>
        <w:ind w:left="4366" w:hanging="360"/>
      </w:pPr>
      <w:rPr>
        <w:rFonts w:ascii="Wingdings" w:hAnsi="Wingdings" w:hint="default"/>
      </w:rPr>
    </w:lvl>
    <w:lvl w:ilvl="6" w:tplc="08090001" w:tentative="1">
      <w:start w:val="1"/>
      <w:numFmt w:val="bullet"/>
      <w:lvlText w:val=""/>
      <w:lvlJc w:val="left"/>
      <w:pPr>
        <w:ind w:left="5086" w:hanging="360"/>
      </w:pPr>
      <w:rPr>
        <w:rFonts w:ascii="Symbol" w:hAnsi="Symbol" w:hint="default"/>
      </w:rPr>
    </w:lvl>
    <w:lvl w:ilvl="7" w:tplc="08090003" w:tentative="1">
      <w:start w:val="1"/>
      <w:numFmt w:val="bullet"/>
      <w:lvlText w:val="o"/>
      <w:lvlJc w:val="left"/>
      <w:pPr>
        <w:ind w:left="5806" w:hanging="360"/>
      </w:pPr>
      <w:rPr>
        <w:rFonts w:ascii="Courier New" w:hAnsi="Courier New" w:cs="Courier New" w:hint="default"/>
      </w:rPr>
    </w:lvl>
    <w:lvl w:ilvl="8" w:tplc="08090005" w:tentative="1">
      <w:start w:val="1"/>
      <w:numFmt w:val="bullet"/>
      <w:lvlText w:val=""/>
      <w:lvlJc w:val="left"/>
      <w:pPr>
        <w:ind w:left="6526" w:hanging="360"/>
      </w:pPr>
      <w:rPr>
        <w:rFonts w:ascii="Wingdings" w:hAnsi="Wingdings" w:hint="default"/>
      </w:rPr>
    </w:lvl>
  </w:abstractNum>
  <w:abstractNum w:abstractNumId="6" w15:restartNumberingAfterBreak="0">
    <w:nsid w:val="38100CD6"/>
    <w:multiLevelType w:val="multilevel"/>
    <w:tmpl w:val="8CC4D3F6"/>
    <w:lvl w:ilvl="0">
      <w:start w:val="1"/>
      <w:numFmt w:val="bullet"/>
      <w:lvlText w:val=""/>
      <w:lvlJc w:val="left"/>
      <w:pPr>
        <w:ind w:left="4472" w:hanging="360"/>
      </w:pPr>
      <w:rPr>
        <w:rFonts w:ascii="Symbol" w:hAnsi="Symbol" w:hint="default"/>
      </w:rPr>
    </w:lvl>
    <w:lvl w:ilvl="1">
      <w:start w:val="1"/>
      <w:numFmt w:val="lowerLetter"/>
      <w:lvlText w:val="%2)"/>
      <w:lvlJc w:val="left"/>
      <w:pPr>
        <w:ind w:left="4832" w:hanging="360"/>
      </w:pPr>
      <w:rPr>
        <w:rFonts w:hint="default"/>
      </w:rPr>
    </w:lvl>
    <w:lvl w:ilvl="2">
      <w:start w:val="1"/>
      <w:numFmt w:val="lowerRoman"/>
      <w:lvlText w:val="%3)"/>
      <w:lvlJc w:val="left"/>
      <w:pPr>
        <w:ind w:left="5192" w:hanging="360"/>
      </w:pPr>
      <w:rPr>
        <w:rFonts w:hint="default"/>
      </w:rPr>
    </w:lvl>
    <w:lvl w:ilvl="3">
      <w:start w:val="1"/>
      <w:numFmt w:val="decimal"/>
      <w:lvlText w:val="(%4)"/>
      <w:lvlJc w:val="left"/>
      <w:pPr>
        <w:ind w:left="5552" w:hanging="360"/>
      </w:pPr>
      <w:rPr>
        <w:rFonts w:hint="default"/>
      </w:rPr>
    </w:lvl>
    <w:lvl w:ilvl="4">
      <w:start w:val="1"/>
      <w:numFmt w:val="lowerLetter"/>
      <w:lvlText w:val="(%5)"/>
      <w:lvlJc w:val="left"/>
      <w:pPr>
        <w:ind w:left="5912" w:hanging="360"/>
      </w:pPr>
      <w:rPr>
        <w:rFonts w:hint="default"/>
      </w:rPr>
    </w:lvl>
    <w:lvl w:ilvl="5">
      <w:start w:val="1"/>
      <w:numFmt w:val="lowerRoman"/>
      <w:lvlText w:val="(%6)"/>
      <w:lvlJc w:val="left"/>
      <w:pPr>
        <w:ind w:left="6272" w:hanging="360"/>
      </w:pPr>
      <w:rPr>
        <w:rFonts w:hint="default"/>
      </w:rPr>
    </w:lvl>
    <w:lvl w:ilvl="6">
      <w:start w:val="1"/>
      <w:numFmt w:val="decimal"/>
      <w:lvlText w:val="%7."/>
      <w:lvlJc w:val="left"/>
      <w:pPr>
        <w:ind w:left="6632" w:hanging="360"/>
      </w:pPr>
      <w:rPr>
        <w:rFonts w:hint="default"/>
      </w:rPr>
    </w:lvl>
    <w:lvl w:ilvl="7">
      <w:start w:val="1"/>
      <w:numFmt w:val="lowerLetter"/>
      <w:lvlText w:val="%8."/>
      <w:lvlJc w:val="left"/>
      <w:pPr>
        <w:ind w:left="6992" w:hanging="360"/>
      </w:pPr>
      <w:rPr>
        <w:rFonts w:hint="default"/>
      </w:rPr>
    </w:lvl>
    <w:lvl w:ilvl="8">
      <w:start w:val="1"/>
      <w:numFmt w:val="lowerRoman"/>
      <w:lvlText w:val="%9."/>
      <w:lvlJc w:val="left"/>
      <w:pPr>
        <w:ind w:left="7352" w:hanging="360"/>
      </w:pPr>
      <w:rPr>
        <w:rFonts w:hint="default"/>
      </w:rPr>
    </w:lvl>
  </w:abstractNum>
  <w:abstractNum w:abstractNumId="7" w15:restartNumberingAfterBreak="0">
    <w:nsid w:val="3A9233DD"/>
    <w:multiLevelType w:val="hybridMultilevel"/>
    <w:tmpl w:val="12362482"/>
    <w:lvl w:ilvl="0" w:tplc="E68AD428">
      <w:start w:val="1"/>
      <w:numFmt w:val="bullet"/>
      <w:lvlText w:val=""/>
      <w:lvlJc w:val="left"/>
      <w:pPr>
        <w:ind w:left="1854" w:hanging="360"/>
      </w:pPr>
      <w:rPr>
        <w:rFonts w:ascii="Symbol" w:hAnsi="Symbol" w:hint="default"/>
        <w:sz w:val="22"/>
        <w:szCs w:val="22"/>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8" w15:restartNumberingAfterBreak="0">
    <w:nsid w:val="524F6C5A"/>
    <w:multiLevelType w:val="multilevel"/>
    <w:tmpl w:val="8CC4D3F6"/>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b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54C12D98"/>
    <w:multiLevelType w:val="hybridMultilevel"/>
    <w:tmpl w:val="C2466AB0"/>
    <w:lvl w:ilvl="0" w:tplc="08090001">
      <w:start w:val="1"/>
      <w:numFmt w:val="bullet"/>
      <w:lvlText w:val=""/>
      <w:lvlJc w:val="left"/>
      <w:pPr>
        <w:ind w:left="1146" w:hanging="360"/>
      </w:pPr>
      <w:rPr>
        <w:rFonts w:ascii="Symbol" w:hAnsi="Symbol" w:hint="default"/>
      </w:rPr>
    </w:lvl>
    <w:lvl w:ilvl="1" w:tplc="08090003">
      <w:start w:val="1"/>
      <w:numFmt w:val="bullet"/>
      <w:lvlText w:val="o"/>
      <w:lvlJc w:val="left"/>
      <w:pPr>
        <w:ind w:left="1866" w:hanging="360"/>
      </w:pPr>
      <w:rPr>
        <w:rFonts w:ascii="Courier New" w:hAnsi="Courier New" w:cs="Courier New" w:hint="default"/>
      </w:rPr>
    </w:lvl>
    <w:lvl w:ilvl="2" w:tplc="04D0D8A2">
      <w:numFmt w:val="bullet"/>
      <w:lvlText w:val="-"/>
      <w:lvlJc w:val="left"/>
      <w:pPr>
        <w:ind w:left="2886" w:hanging="660"/>
      </w:pPr>
      <w:rPr>
        <w:rFonts w:ascii="Calibri" w:eastAsia="Calibri" w:hAnsi="Calibri" w:cs="Calibri"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574C5916"/>
    <w:multiLevelType w:val="hybridMultilevel"/>
    <w:tmpl w:val="D988F756"/>
    <w:lvl w:ilvl="0" w:tplc="08090001">
      <w:start w:val="1"/>
      <w:numFmt w:val="bullet"/>
      <w:lvlText w:val=""/>
      <w:lvlJc w:val="left"/>
      <w:pPr>
        <w:ind w:left="1900"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668548AA"/>
    <w:multiLevelType w:val="multilevel"/>
    <w:tmpl w:val="8CC4D3F6"/>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69162C06"/>
    <w:multiLevelType w:val="hybridMultilevel"/>
    <w:tmpl w:val="215AEDAA"/>
    <w:lvl w:ilvl="0" w:tplc="08090001">
      <w:start w:val="1"/>
      <w:numFmt w:val="bullet"/>
      <w:lvlText w:val=""/>
      <w:lvlJc w:val="left"/>
      <w:pPr>
        <w:ind w:left="2441" w:hanging="360"/>
      </w:pPr>
      <w:rPr>
        <w:rFonts w:ascii="Symbol" w:hAnsi="Symbol" w:hint="default"/>
      </w:rPr>
    </w:lvl>
    <w:lvl w:ilvl="1" w:tplc="08090003">
      <w:start w:val="1"/>
      <w:numFmt w:val="bullet"/>
      <w:lvlText w:val="o"/>
      <w:lvlJc w:val="left"/>
      <w:pPr>
        <w:ind w:left="3161" w:hanging="360"/>
      </w:pPr>
      <w:rPr>
        <w:rFonts w:ascii="Courier New" w:hAnsi="Courier New" w:cs="Courier New" w:hint="default"/>
      </w:rPr>
    </w:lvl>
    <w:lvl w:ilvl="2" w:tplc="08090005" w:tentative="1">
      <w:start w:val="1"/>
      <w:numFmt w:val="bullet"/>
      <w:lvlText w:val=""/>
      <w:lvlJc w:val="left"/>
      <w:pPr>
        <w:ind w:left="3881" w:hanging="360"/>
      </w:pPr>
      <w:rPr>
        <w:rFonts w:ascii="Wingdings" w:hAnsi="Wingdings" w:hint="default"/>
      </w:rPr>
    </w:lvl>
    <w:lvl w:ilvl="3" w:tplc="08090001" w:tentative="1">
      <w:start w:val="1"/>
      <w:numFmt w:val="bullet"/>
      <w:lvlText w:val=""/>
      <w:lvlJc w:val="left"/>
      <w:pPr>
        <w:ind w:left="4601" w:hanging="360"/>
      </w:pPr>
      <w:rPr>
        <w:rFonts w:ascii="Symbol" w:hAnsi="Symbol" w:hint="default"/>
      </w:rPr>
    </w:lvl>
    <w:lvl w:ilvl="4" w:tplc="08090003" w:tentative="1">
      <w:start w:val="1"/>
      <w:numFmt w:val="bullet"/>
      <w:lvlText w:val="o"/>
      <w:lvlJc w:val="left"/>
      <w:pPr>
        <w:ind w:left="5321" w:hanging="360"/>
      </w:pPr>
      <w:rPr>
        <w:rFonts w:ascii="Courier New" w:hAnsi="Courier New" w:cs="Courier New" w:hint="default"/>
      </w:rPr>
    </w:lvl>
    <w:lvl w:ilvl="5" w:tplc="08090005" w:tentative="1">
      <w:start w:val="1"/>
      <w:numFmt w:val="bullet"/>
      <w:lvlText w:val=""/>
      <w:lvlJc w:val="left"/>
      <w:pPr>
        <w:ind w:left="6041" w:hanging="360"/>
      </w:pPr>
      <w:rPr>
        <w:rFonts w:ascii="Wingdings" w:hAnsi="Wingdings" w:hint="default"/>
      </w:rPr>
    </w:lvl>
    <w:lvl w:ilvl="6" w:tplc="08090001" w:tentative="1">
      <w:start w:val="1"/>
      <w:numFmt w:val="bullet"/>
      <w:lvlText w:val=""/>
      <w:lvlJc w:val="left"/>
      <w:pPr>
        <w:ind w:left="6761" w:hanging="360"/>
      </w:pPr>
      <w:rPr>
        <w:rFonts w:ascii="Symbol" w:hAnsi="Symbol" w:hint="default"/>
      </w:rPr>
    </w:lvl>
    <w:lvl w:ilvl="7" w:tplc="08090003" w:tentative="1">
      <w:start w:val="1"/>
      <w:numFmt w:val="bullet"/>
      <w:lvlText w:val="o"/>
      <w:lvlJc w:val="left"/>
      <w:pPr>
        <w:ind w:left="7481" w:hanging="360"/>
      </w:pPr>
      <w:rPr>
        <w:rFonts w:ascii="Courier New" w:hAnsi="Courier New" w:cs="Courier New" w:hint="default"/>
      </w:rPr>
    </w:lvl>
    <w:lvl w:ilvl="8" w:tplc="08090005" w:tentative="1">
      <w:start w:val="1"/>
      <w:numFmt w:val="bullet"/>
      <w:lvlText w:val=""/>
      <w:lvlJc w:val="left"/>
      <w:pPr>
        <w:ind w:left="8201" w:hanging="360"/>
      </w:pPr>
      <w:rPr>
        <w:rFonts w:ascii="Wingdings" w:hAnsi="Wingdings" w:hint="default"/>
      </w:rPr>
    </w:lvl>
  </w:abstractNum>
  <w:abstractNum w:abstractNumId="13" w15:restartNumberingAfterBreak="0">
    <w:nsid w:val="6BBE1EC6"/>
    <w:multiLevelType w:val="hybridMultilevel"/>
    <w:tmpl w:val="28D01CDA"/>
    <w:lvl w:ilvl="0" w:tplc="08090001">
      <w:start w:val="1"/>
      <w:numFmt w:val="bullet"/>
      <w:lvlText w:val=""/>
      <w:lvlJc w:val="left"/>
      <w:pPr>
        <w:ind w:left="1571" w:hanging="360"/>
      </w:pPr>
      <w:rPr>
        <w:rFonts w:ascii="Symbol" w:hAnsi="Symbol" w:hint="default"/>
      </w:rPr>
    </w:lvl>
    <w:lvl w:ilvl="1" w:tplc="08090003">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4" w15:restartNumberingAfterBreak="0">
    <w:nsid w:val="6FD645D6"/>
    <w:multiLevelType w:val="hybridMultilevel"/>
    <w:tmpl w:val="DFDECD2A"/>
    <w:lvl w:ilvl="0" w:tplc="08090011">
      <w:start w:val="1"/>
      <w:numFmt w:val="decimal"/>
      <w:lvlText w:val="%1)"/>
      <w:lvlJc w:val="left"/>
      <w:pPr>
        <w:ind w:left="1069" w:hanging="360"/>
      </w:pPr>
      <w:rPr>
        <w:rFonts w:cs="Times New Roman"/>
      </w:rPr>
    </w:lvl>
    <w:lvl w:ilvl="1" w:tplc="08090019" w:tentative="1">
      <w:start w:val="1"/>
      <w:numFmt w:val="lowerLetter"/>
      <w:lvlText w:val="%2."/>
      <w:lvlJc w:val="left"/>
      <w:pPr>
        <w:ind w:left="1789" w:hanging="360"/>
      </w:pPr>
      <w:rPr>
        <w:rFonts w:cs="Times New Roman"/>
      </w:rPr>
    </w:lvl>
    <w:lvl w:ilvl="2" w:tplc="0809001B" w:tentative="1">
      <w:start w:val="1"/>
      <w:numFmt w:val="lowerRoman"/>
      <w:lvlText w:val="%3."/>
      <w:lvlJc w:val="right"/>
      <w:pPr>
        <w:ind w:left="2509" w:hanging="180"/>
      </w:pPr>
      <w:rPr>
        <w:rFonts w:cs="Times New Roman"/>
      </w:rPr>
    </w:lvl>
    <w:lvl w:ilvl="3" w:tplc="0809000F" w:tentative="1">
      <w:start w:val="1"/>
      <w:numFmt w:val="decimal"/>
      <w:lvlText w:val="%4."/>
      <w:lvlJc w:val="left"/>
      <w:pPr>
        <w:ind w:left="3229" w:hanging="360"/>
      </w:pPr>
      <w:rPr>
        <w:rFonts w:cs="Times New Roman"/>
      </w:rPr>
    </w:lvl>
    <w:lvl w:ilvl="4" w:tplc="08090019" w:tentative="1">
      <w:start w:val="1"/>
      <w:numFmt w:val="lowerLetter"/>
      <w:lvlText w:val="%5."/>
      <w:lvlJc w:val="left"/>
      <w:pPr>
        <w:ind w:left="3949" w:hanging="360"/>
      </w:pPr>
      <w:rPr>
        <w:rFonts w:cs="Times New Roman"/>
      </w:rPr>
    </w:lvl>
    <w:lvl w:ilvl="5" w:tplc="0809001B" w:tentative="1">
      <w:start w:val="1"/>
      <w:numFmt w:val="lowerRoman"/>
      <w:lvlText w:val="%6."/>
      <w:lvlJc w:val="right"/>
      <w:pPr>
        <w:ind w:left="4669" w:hanging="180"/>
      </w:pPr>
      <w:rPr>
        <w:rFonts w:cs="Times New Roman"/>
      </w:rPr>
    </w:lvl>
    <w:lvl w:ilvl="6" w:tplc="0809000F" w:tentative="1">
      <w:start w:val="1"/>
      <w:numFmt w:val="decimal"/>
      <w:lvlText w:val="%7."/>
      <w:lvlJc w:val="left"/>
      <w:pPr>
        <w:ind w:left="5389" w:hanging="360"/>
      </w:pPr>
      <w:rPr>
        <w:rFonts w:cs="Times New Roman"/>
      </w:rPr>
    </w:lvl>
    <w:lvl w:ilvl="7" w:tplc="08090019" w:tentative="1">
      <w:start w:val="1"/>
      <w:numFmt w:val="lowerLetter"/>
      <w:lvlText w:val="%8."/>
      <w:lvlJc w:val="left"/>
      <w:pPr>
        <w:ind w:left="6109" w:hanging="360"/>
      </w:pPr>
      <w:rPr>
        <w:rFonts w:cs="Times New Roman"/>
      </w:rPr>
    </w:lvl>
    <w:lvl w:ilvl="8" w:tplc="0809001B" w:tentative="1">
      <w:start w:val="1"/>
      <w:numFmt w:val="lowerRoman"/>
      <w:lvlText w:val="%9."/>
      <w:lvlJc w:val="right"/>
      <w:pPr>
        <w:ind w:left="6829" w:hanging="180"/>
      </w:pPr>
      <w:rPr>
        <w:rFonts w:cs="Times New Roman"/>
      </w:rPr>
    </w:lvl>
  </w:abstractNum>
  <w:abstractNum w:abstractNumId="15" w15:restartNumberingAfterBreak="0">
    <w:nsid w:val="749536F7"/>
    <w:multiLevelType w:val="multilevel"/>
    <w:tmpl w:val="50E00AA4"/>
    <w:lvl w:ilvl="0">
      <w:start w:val="1"/>
      <w:numFmt w:val="decimal"/>
      <w:pStyle w:val="Heading1"/>
      <w:lvlText w:val="%1"/>
      <w:lvlJc w:val="left"/>
      <w:pPr>
        <w:ind w:left="432" w:hanging="432"/>
      </w:pPr>
    </w:lvl>
    <w:lvl w:ilvl="1">
      <w:start w:val="1"/>
      <w:numFmt w:val="decimal"/>
      <w:pStyle w:val="Heading2"/>
      <w:lvlText w:val="%1.%2"/>
      <w:lvlJc w:val="left"/>
      <w:pPr>
        <w:ind w:left="1711" w:hanging="576"/>
      </w:pPr>
      <w:rPr>
        <w:rFonts w:asciiTheme="majorHAnsi" w:hAnsiTheme="majorHAnsi" w:cstheme="majorHAnsi"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4407" w:hanging="720"/>
      </w:pPr>
      <w:rPr>
        <w:rFonts w:asciiTheme="majorHAnsi" w:hAnsiTheme="majorHAnsi" w:cstheme="majorHAnsi" w:hint="default"/>
        <w:b w:val="0"/>
        <w:i w:val="0"/>
        <w:color w:val="auto"/>
        <w:sz w:val="24"/>
        <w:szCs w:val="24"/>
        <w:vertAlign w:val="baseline"/>
      </w:rPr>
    </w:lvl>
    <w:lvl w:ilvl="3">
      <w:start w:val="1"/>
      <w:numFmt w:val="decimal"/>
      <w:pStyle w:val="Heading4"/>
      <w:lvlText w:val="%1.%2.%3.%4"/>
      <w:lvlJc w:val="left"/>
      <w:pPr>
        <w:ind w:left="1432" w:hanging="864"/>
      </w:pPr>
      <w:rPr>
        <w:b w:val="0"/>
        <w:bCs w:val="0"/>
        <w:i w:val="0"/>
        <w:iCs w:val="0"/>
        <w:caps w:val="0"/>
        <w:smallCaps w:val="0"/>
        <w:strike w:val="0"/>
        <w:dstrike w:val="0"/>
        <w:outline w:val="0"/>
        <w:shadow w:val="0"/>
        <w:emboss w:val="0"/>
        <w:imprint w:val="0"/>
        <w:noProof w:val="0"/>
        <w:vanish w:val="0"/>
        <w:color w:val="44546A" w:themeColor="text2"/>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1008" w:hanging="10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1"/>
  </w:num>
  <w:num w:numId="2">
    <w:abstractNumId w:val="9"/>
  </w:num>
  <w:num w:numId="3">
    <w:abstractNumId w:val="12"/>
  </w:num>
  <w:num w:numId="4">
    <w:abstractNumId w:val="4"/>
  </w:num>
  <w:num w:numId="5">
    <w:abstractNumId w:val="5"/>
  </w:num>
  <w:num w:numId="6">
    <w:abstractNumId w:val="6"/>
  </w:num>
  <w:num w:numId="7">
    <w:abstractNumId w:val="11"/>
  </w:num>
  <w:num w:numId="8">
    <w:abstractNumId w:val="8"/>
  </w:num>
  <w:num w:numId="9">
    <w:abstractNumId w:val="2"/>
  </w:num>
  <w:num w:numId="10">
    <w:abstractNumId w:val="14"/>
  </w:num>
  <w:num w:numId="11">
    <w:abstractNumId w:val="3"/>
  </w:num>
  <w:num w:numId="12">
    <w:abstractNumId w:val="13"/>
  </w:num>
  <w:num w:numId="13">
    <w:abstractNumId w:val="10"/>
  </w:num>
  <w:num w:numId="14">
    <w:abstractNumId w:val="7"/>
  </w:num>
  <w:num w:numId="15">
    <w:abstractNumId w:val="0"/>
  </w:num>
  <w:num w:numId="16">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56BD"/>
    <w:rsid w:val="004C38CF"/>
    <w:rsid w:val="00A956BD"/>
    <w:rsid w:val="00C56FC0"/>
    <w:rsid w:val="00D77E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B48F1AE2-94AF-4C5C-852A-0DF4C74CD9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IntenseQuote"/>
    <w:link w:val="Heading1Char"/>
    <w:autoRedefine/>
    <w:uiPriority w:val="1"/>
    <w:qFormat/>
    <w:rsid w:val="00A956BD"/>
    <w:pPr>
      <w:widowControl w:val="0"/>
      <w:numPr>
        <w:numId w:val="16"/>
      </w:numPr>
      <w:autoSpaceDE w:val="0"/>
      <w:autoSpaceDN w:val="0"/>
      <w:spacing w:before="101" w:line="240" w:lineRule="auto"/>
      <w:ind w:left="998" w:right="567" w:hanging="431"/>
      <w:outlineLvl w:val="0"/>
    </w:pPr>
    <w:rPr>
      <w:rFonts w:ascii="Cambria" w:eastAsia="Cambria" w:hAnsi="Cambria" w:cs="Cambria"/>
      <w:b/>
      <w:i w:val="0"/>
      <w:color w:val="44546A" w:themeColor="text2"/>
      <w:sz w:val="36"/>
      <w:szCs w:val="40"/>
    </w:rPr>
  </w:style>
  <w:style w:type="paragraph" w:styleId="Heading2">
    <w:name w:val="heading 2"/>
    <w:basedOn w:val="Normal"/>
    <w:next w:val="Normal"/>
    <w:link w:val="Heading2Char1"/>
    <w:uiPriority w:val="9"/>
    <w:unhideWhenUsed/>
    <w:qFormat/>
    <w:rsid w:val="00A956BD"/>
    <w:pPr>
      <w:keepNext/>
      <w:keepLines/>
      <w:numPr>
        <w:ilvl w:val="1"/>
        <w:numId w:val="16"/>
      </w:numPr>
      <w:spacing w:before="40" w:after="0"/>
      <w:ind w:left="1145" w:hanging="578"/>
      <w:outlineLvl w:val="1"/>
    </w:pPr>
    <w:rPr>
      <w:rFonts w:asciiTheme="majorHAnsi" w:eastAsia="Cambria" w:hAnsiTheme="majorHAnsi" w:cstheme="majorBidi"/>
      <w:b/>
      <w:color w:val="1F4E79" w:themeColor="accent1" w:themeShade="80"/>
      <w:sz w:val="32"/>
      <w:szCs w:val="26"/>
    </w:rPr>
  </w:style>
  <w:style w:type="paragraph" w:styleId="Heading3">
    <w:name w:val="heading 3"/>
    <w:basedOn w:val="Normal"/>
    <w:next w:val="Normal"/>
    <w:link w:val="Heading3Char1"/>
    <w:uiPriority w:val="9"/>
    <w:unhideWhenUsed/>
    <w:qFormat/>
    <w:rsid w:val="00A956BD"/>
    <w:pPr>
      <w:keepNext/>
      <w:keepLines/>
      <w:numPr>
        <w:ilvl w:val="2"/>
        <w:numId w:val="16"/>
      </w:numPr>
      <w:spacing w:before="40" w:after="0"/>
      <w:ind w:left="1287"/>
      <w:outlineLvl w:val="2"/>
    </w:pPr>
    <w:rPr>
      <w:rFonts w:asciiTheme="majorHAnsi" w:eastAsiaTheme="majorEastAsia" w:hAnsiTheme="majorHAnsi" w:cstheme="majorBidi"/>
      <w:color w:val="1F4D78" w:themeColor="accent1" w:themeShade="7F"/>
      <w:sz w:val="28"/>
      <w:szCs w:val="24"/>
    </w:rPr>
  </w:style>
  <w:style w:type="paragraph" w:styleId="Heading4">
    <w:name w:val="heading 4"/>
    <w:basedOn w:val="Normal"/>
    <w:link w:val="Heading4Char"/>
    <w:uiPriority w:val="1"/>
    <w:qFormat/>
    <w:rsid w:val="00A956BD"/>
    <w:pPr>
      <w:widowControl w:val="0"/>
      <w:numPr>
        <w:ilvl w:val="3"/>
        <w:numId w:val="16"/>
      </w:numPr>
      <w:autoSpaceDE w:val="0"/>
      <w:autoSpaceDN w:val="0"/>
      <w:spacing w:after="0" w:line="240" w:lineRule="auto"/>
      <w:ind w:left="1429" w:hanging="862"/>
      <w:outlineLvl w:val="3"/>
    </w:pPr>
    <w:rPr>
      <w:rFonts w:ascii="Calibri" w:eastAsia="Calibri" w:hAnsi="Calibri" w:cs="Calibri"/>
      <w:b/>
      <w:bCs/>
      <w:color w:val="44546A" w:themeColor="text2"/>
    </w:rPr>
  </w:style>
  <w:style w:type="paragraph" w:styleId="Heading5">
    <w:name w:val="heading 5"/>
    <w:basedOn w:val="Normal"/>
    <w:next w:val="Normal"/>
    <w:link w:val="Heading5Char"/>
    <w:uiPriority w:val="9"/>
    <w:unhideWhenUsed/>
    <w:qFormat/>
    <w:rsid w:val="00A956BD"/>
    <w:pPr>
      <w:widowControl w:val="0"/>
      <w:autoSpaceDE w:val="0"/>
      <w:autoSpaceDN w:val="0"/>
      <w:spacing w:after="0" w:line="240" w:lineRule="auto"/>
      <w:ind w:left="567" w:right="95"/>
      <w:jc w:val="both"/>
      <w:outlineLvl w:val="4"/>
    </w:pPr>
    <w:rPr>
      <w:rFonts w:ascii="Calibri" w:eastAsia="Calibri" w:hAnsi="Calibri" w:cs="Calibri"/>
    </w:rPr>
  </w:style>
  <w:style w:type="paragraph" w:styleId="Heading6">
    <w:name w:val="heading 6"/>
    <w:basedOn w:val="Normal"/>
    <w:next w:val="Normal"/>
    <w:link w:val="Heading6Char"/>
    <w:uiPriority w:val="9"/>
    <w:semiHidden/>
    <w:unhideWhenUsed/>
    <w:qFormat/>
    <w:rsid w:val="00A956BD"/>
    <w:pPr>
      <w:keepNext/>
      <w:keepLines/>
      <w:numPr>
        <w:ilvl w:val="5"/>
        <w:numId w:val="16"/>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A956BD"/>
    <w:pPr>
      <w:keepNext/>
      <w:keepLines/>
      <w:numPr>
        <w:ilvl w:val="6"/>
        <w:numId w:val="16"/>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A956BD"/>
    <w:pPr>
      <w:keepNext/>
      <w:keepLines/>
      <w:numPr>
        <w:ilvl w:val="7"/>
        <w:numId w:val="16"/>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956BD"/>
    <w:pPr>
      <w:keepNext/>
      <w:keepLines/>
      <w:numPr>
        <w:ilvl w:val="8"/>
        <w:numId w:val="1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A956BD"/>
    <w:rPr>
      <w:rFonts w:ascii="Cambria" w:eastAsia="Cambria" w:hAnsi="Cambria" w:cs="Cambria"/>
      <w:b/>
      <w:iCs/>
      <w:color w:val="44546A" w:themeColor="text2"/>
      <w:sz w:val="36"/>
      <w:szCs w:val="40"/>
    </w:rPr>
  </w:style>
  <w:style w:type="character" w:customStyle="1" w:styleId="Heading2Char">
    <w:name w:val="Heading 2 Char"/>
    <w:basedOn w:val="DefaultParagraphFont"/>
    <w:link w:val="Heading21"/>
    <w:uiPriority w:val="1"/>
    <w:rsid w:val="00A956BD"/>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1"/>
    <w:uiPriority w:val="1"/>
    <w:rsid w:val="00A956BD"/>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1"/>
    <w:rsid w:val="00A956BD"/>
    <w:rPr>
      <w:rFonts w:ascii="Calibri" w:eastAsia="Calibri" w:hAnsi="Calibri" w:cs="Calibri"/>
      <w:b/>
      <w:bCs/>
      <w:color w:val="44546A" w:themeColor="text2"/>
    </w:rPr>
  </w:style>
  <w:style w:type="character" w:customStyle="1" w:styleId="Heading5Char">
    <w:name w:val="Heading 5 Char"/>
    <w:basedOn w:val="DefaultParagraphFont"/>
    <w:link w:val="Heading5"/>
    <w:uiPriority w:val="9"/>
    <w:rsid w:val="00A956BD"/>
    <w:rPr>
      <w:rFonts w:ascii="Calibri" w:eastAsia="Calibri" w:hAnsi="Calibri" w:cs="Calibri"/>
    </w:rPr>
  </w:style>
  <w:style w:type="character" w:customStyle="1" w:styleId="Heading6Char">
    <w:name w:val="Heading 6 Char"/>
    <w:basedOn w:val="DefaultParagraphFont"/>
    <w:link w:val="Heading6"/>
    <w:uiPriority w:val="9"/>
    <w:semiHidden/>
    <w:rsid w:val="00A956BD"/>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A956BD"/>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A956B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956BD"/>
    <w:rPr>
      <w:rFonts w:asciiTheme="majorHAnsi" w:eastAsiaTheme="majorEastAsia" w:hAnsiTheme="majorHAnsi" w:cstheme="majorBidi"/>
      <w:i/>
      <w:iCs/>
      <w:color w:val="272727" w:themeColor="text1" w:themeTint="D8"/>
      <w:sz w:val="21"/>
      <w:szCs w:val="21"/>
    </w:rPr>
  </w:style>
  <w:style w:type="numbering" w:customStyle="1" w:styleId="NoList1">
    <w:name w:val="No List1"/>
    <w:next w:val="NoList"/>
    <w:uiPriority w:val="99"/>
    <w:semiHidden/>
    <w:unhideWhenUsed/>
    <w:rsid w:val="00A956BD"/>
  </w:style>
  <w:style w:type="paragraph" w:customStyle="1" w:styleId="Heading21">
    <w:name w:val="Heading 21"/>
    <w:basedOn w:val="Normal"/>
    <w:next w:val="Heading2"/>
    <w:link w:val="Heading2Char"/>
    <w:uiPriority w:val="1"/>
    <w:rsid w:val="00A956BD"/>
    <w:pPr>
      <w:widowControl w:val="0"/>
      <w:autoSpaceDE w:val="0"/>
      <w:autoSpaceDN w:val="0"/>
      <w:spacing w:after="0" w:line="240" w:lineRule="auto"/>
      <w:ind w:left="100"/>
      <w:outlineLvl w:val="1"/>
    </w:pPr>
    <w:rPr>
      <w:rFonts w:asciiTheme="majorHAnsi" w:eastAsiaTheme="majorEastAsia" w:hAnsiTheme="majorHAnsi" w:cstheme="majorBidi"/>
      <w:color w:val="2E74B5" w:themeColor="accent1" w:themeShade="BF"/>
      <w:sz w:val="26"/>
      <w:szCs w:val="26"/>
    </w:rPr>
  </w:style>
  <w:style w:type="paragraph" w:customStyle="1" w:styleId="Heading31">
    <w:name w:val="Heading 31"/>
    <w:basedOn w:val="Normal"/>
    <w:next w:val="Heading3"/>
    <w:link w:val="Heading3Char"/>
    <w:uiPriority w:val="1"/>
    <w:rsid w:val="00A956BD"/>
    <w:pPr>
      <w:widowControl w:val="0"/>
      <w:autoSpaceDE w:val="0"/>
      <w:autoSpaceDN w:val="0"/>
      <w:spacing w:after="0" w:line="240" w:lineRule="auto"/>
      <w:ind w:left="113"/>
      <w:outlineLvl w:val="2"/>
    </w:pPr>
    <w:rPr>
      <w:rFonts w:asciiTheme="majorHAnsi" w:eastAsiaTheme="majorEastAsia" w:hAnsiTheme="majorHAnsi" w:cstheme="majorBidi"/>
      <w:color w:val="1F4D78" w:themeColor="accent1" w:themeShade="7F"/>
      <w:sz w:val="24"/>
      <w:szCs w:val="24"/>
    </w:rPr>
  </w:style>
  <w:style w:type="numbering" w:customStyle="1" w:styleId="NoList11">
    <w:name w:val="No List11"/>
    <w:next w:val="NoList"/>
    <w:uiPriority w:val="99"/>
    <w:semiHidden/>
    <w:unhideWhenUsed/>
    <w:rsid w:val="00A956BD"/>
  </w:style>
  <w:style w:type="paragraph" w:customStyle="1" w:styleId="IntenseQuote1">
    <w:name w:val="Intense Quote1"/>
    <w:basedOn w:val="Normal"/>
    <w:next w:val="Normal"/>
    <w:link w:val="IntenseQuoteChar"/>
    <w:uiPriority w:val="30"/>
    <w:qFormat/>
    <w:rsid w:val="00A956BD"/>
    <w:pPr>
      <w:widowControl w:val="0"/>
      <w:pBdr>
        <w:top w:val="single" w:sz="4" w:space="10" w:color="4F81BD"/>
        <w:bottom w:val="single" w:sz="4" w:space="10" w:color="4F81BD"/>
      </w:pBdr>
      <w:autoSpaceDE w:val="0"/>
      <w:autoSpaceDN w:val="0"/>
      <w:spacing w:before="360" w:after="360" w:line="240" w:lineRule="auto"/>
      <w:ind w:left="864" w:right="864"/>
      <w:jc w:val="center"/>
    </w:pPr>
    <w:rPr>
      <w:rFonts w:ascii="Calibri" w:eastAsia="Calibri" w:hAnsi="Calibri" w:cs="Calibri"/>
      <w:i/>
      <w:iCs/>
      <w:color w:val="4F81BD"/>
    </w:rPr>
  </w:style>
  <w:style w:type="character" w:customStyle="1" w:styleId="IntenseQuoteChar">
    <w:name w:val="Intense Quote Char"/>
    <w:basedOn w:val="DefaultParagraphFont"/>
    <w:link w:val="IntenseQuote1"/>
    <w:uiPriority w:val="30"/>
    <w:rsid w:val="00A956BD"/>
    <w:rPr>
      <w:rFonts w:ascii="Calibri" w:eastAsia="Calibri" w:hAnsi="Calibri" w:cs="Calibri"/>
      <w:i/>
      <w:iCs/>
      <w:color w:val="4F81BD"/>
    </w:rPr>
  </w:style>
  <w:style w:type="paragraph" w:styleId="TOC1">
    <w:name w:val="toc 1"/>
    <w:basedOn w:val="Normal"/>
    <w:uiPriority w:val="39"/>
    <w:qFormat/>
    <w:rsid w:val="00A956BD"/>
    <w:pPr>
      <w:widowControl w:val="0"/>
      <w:autoSpaceDE w:val="0"/>
      <w:autoSpaceDN w:val="0"/>
      <w:spacing w:before="98" w:after="0" w:line="240" w:lineRule="auto"/>
      <w:ind w:left="112"/>
    </w:pPr>
    <w:rPr>
      <w:rFonts w:ascii="Calibri" w:eastAsia="Calibri" w:hAnsi="Calibri" w:cs="Calibri"/>
    </w:rPr>
  </w:style>
  <w:style w:type="paragraph" w:styleId="TOC2">
    <w:name w:val="toc 2"/>
    <w:basedOn w:val="Normal"/>
    <w:uiPriority w:val="39"/>
    <w:qFormat/>
    <w:rsid w:val="00A956BD"/>
    <w:pPr>
      <w:widowControl w:val="0"/>
      <w:autoSpaceDE w:val="0"/>
      <w:autoSpaceDN w:val="0"/>
      <w:spacing w:before="98" w:after="0" w:line="240" w:lineRule="auto"/>
      <w:ind w:left="398"/>
    </w:pPr>
    <w:rPr>
      <w:rFonts w:ascii="Calibri" w:eastAsia="Calibri" w:hAnsi="Calibri" w:cs="Calibri"/>
    </w:rPr>
  </w:style>
  <w:style w:type="paragraph" w:styleId="BodyText">
    <w:name w:val="Body Text"/>
    <w:basedOn w:val="Normal"/>
    <w:link w:val="BodyTextChar"/>
    <w:uiPriority w:val="1"/>
    <w:qFormat/>
    <w:rsid w:val="00A956BD"/>
    <w:pPr>
      <w:widowControl w:val="0"/>
      <w:autoSpaceDE w:val="0"/>
      <w:autoSpaceDN w:val="0"/>
      <w:spacing w:after="0" w:line="240" w:lineRule="auto"/>
      <w:ind w:left="567"/>
    </w:pPr>
    <w:rPr>
      <w:rFonts w:ascii="Calibri" w:eastAsia="Calibri" w:hAnsi="Calibri" w:cs="Calibri"/>
    </w:rPr>
  </w:style>
  <w:style w:type="character" w:customStyle="1" w:styleId="BodyTextChar">
    <w:name w:val="Body Text Char"/>
    <w:basedOn w:val="DefaultParagraphFont"/>
    <w:link w:val="BodyText"/>
    <w:uiPriority w:val="1"/>
    <w:rsid w:val="00A956BD"/>
    <w:rPr>
      <w:rFonts w:ascii="Calibri" w:eastAsia="Calibri" w:hAnsi="Calibri" w:cs="Calibri"/>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A956BD"/>
    <w:pPr>
      <w:widowControl w:val="0"/>
      <w:autoSpaceDE w:val="0"/>
      <w:autoSpaceDN w:val="0"/>
      <w:spacing w:after="0" w:line="240" w:lineRule="auto"/>
      <w:ind w:left="1264" w:hanging="283"/>
    </w:pPr>
    <w:rPr>
      <w:rFonts w:ascii="Calibri" w:eastAsia="Calibri" w:hAnsi="Calibri" w:cs="Calibri"/>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A956BD"/>
    <w:rPr>
      <w:rFonts w:ascii="Calibri" w:eastAsia="Calibri" w:hAnsi="Calibri" w:cs="Calibri"/>
    </w:rPr>
  </w:style>
  <w:style w:type="paragraph" w:customStyle="1" w:styleId="TableParagraph">
    <w:name w:val="Table Paragraph"/>
    <w:basedOn w:val="Normal"/>
    <w:uiPriority w:val="1"/>
    <w:qFormat/>
    <w:rsid w:val="00A956BD"/>
    <w:pPr>
      <w:widowControl w:val="0"/>
      <w:autoSpaceDE w:val="0"/>
      <w:autoSpaceDN w:val="0"/>
      <w:spacing w:after="0" w:line="240" w:lineRule="auto"/>
      <w:ind w:left="103"/>
    </w:pPr>
    <w:rPr>
      <w:rFonts w:ascii="Calibri" w:eastAsia="Calibri" w:hAnsi="Calibri" w:cs="Calibri"/>
    </w:rPr>
  </w:style>
  <w:style w:type="paragraph" w:customStyle="1" w:styleId="TOCHeading1">
    <w:name w:val="TOC Heading1"/>
    <w:basedOn w:val="Heading1"/>
    <w:next w:val="Normal"/>
    <w:uiPriority w:val="39"/>
    <w:unhideWhenUsed/>
    <w:qFormat/>
    <w:rsid w:val="00A956BD"/>
    <w:pPr>
      <w:keepNext/>
      <w:keepLines/>
      <w:widowControl/>
      <w:autoSpaceDE/>
      <w:autoSpaceDN/>
      <w:spacing w:before="240" w:line="259" w:lineRule="auto"/>
      <w:ind w:left="0"/>
      <w:jc w:val="left"/>
      <w:outlineLvl w:val="9"/>
    </w:pPr>
    <w:rPr>
      <w:rFonts w:eastAsia="Times New Roman" w:cs="Times New Roman"/>
      <w:i/>
      <w:color w:val="365F91"/>
      <w:sz w:val="32"/>
      <w:szCs w:val="32"/>
    </w:rPr>
  </w:style>
  <w:style w:type="paragraph" w:styleId="TOC3">
    <w:name w:val="toc 3"/>
    <w:basedOn w:val="Normal"/>
    <w:next w:val="Normal"/>
    <w:autoRedefine/>
    <w:uiPriority w:val="39"/>
    <w:unhideWhenUsed/>
    <w:rsid w:val="00A956BD"/>
    <w:pPr>
      <w:widowControl w:val="0"/>
      <w:autoSpaceDE w:val="0"/>
      <w:autoSpaceDN w:val="0"/>
      <w:spacing w:after="100" w:line="240" w:lineRule="auto"/>
      <w:ind w:left="440"/>
    </w:pPr>
    <w:rPr>
      <w:rFonts w:ascii="Calibri" w:eastAsia="Calibri" w:hAnsi="Calibri" w:cs="Calibri"/>
    </w:rPr>
  </w:style>
  <w:style w:type="paragraph" w:styleId="Header">
    <w:name w:val="header"/>
    <w:basedOn w:val="Normal"/>
    <w:link w:val="HeaderChar"/>
    <w:uiPriority w:val="99"/>
    <w:unhideWhenUsed/>
    <w:rsid w:val="00A956BD"/>
    <w:pPr>
      <w:widowControl w:val="0"/>
      <w:tabs>
        <w:tab w:val="center" w:pos="4513"/>
        <w:tab w:val="right" w:pos="9026"/>
      </w:tabs>
      <w:autoSpaceDE w:val="0"/>
      <w:autoSpaceDN w:val="0"/>
      <w:spacing w:after="0" w:line="240" w:lineRule="auto"/>
      <w:ind w:left="567"/>
    </w:pPr>
    <w:rPr>
      <w:rFonts w:ascii="Calibri" w:eastAsia="Calibri" w:hAnsi="Calibri" w:cs="Calibri"/>
    </w:rPr>
  </w:style>
  <w:style w:type="character" w:customStyle="1" w:styleId="HeaderChar">
    <w:name w:val="Header Char"/>
    <w:basedOn w:val="DefaultParagraphFont"/>
    <w:link w:val="Header"/>
    <w:uiPriority w:val="99"/>
    <w:rsid w:val="00A956BD"/>
    <w:rPr>
      <w:rFonts w:ascii="Calibri" w:eastAsia="Calibri" w:hAnsi="Calibri" w:cs="Calibri"/>
    </w:rPr>
  </w:style>
  <w:style w:type="paragraph" w:styleId="Footer">
    <w:name w:val="footer"/>
    <w:basedOn w:val="Normal"/>
    <w:link w:val="FooterChar"/>
    <w:uiPriority w:val="99"/>
    <w:unhideWhenUsed/>
    <w:rsid w:val="00A956BD"/>
    <w:pPr>
      <w:widowControl w:val="0"/>
      <w:tabs>
        <w:tab w:val="center" w:pos="4513"/>
        <w:tab w:val="right" w:pos="9026"/>
      </w:tabs>
      <w:autoSpaceDE w:val="0"/>
      <w:autoSpaceDN w:val="0"/>
      <w:spacing w:after="0" w:line="240" w:lineRule="auto"/>
      <w:ind w:left="567"/>
    </w:pPr>
    <w:rPr>
      <w:rFonts w:ascii="Calibri" w:eastAsia="Calibri" w:hAnsi="Calibri" w:cs="Calibri"/>
    </w:rPr>
  </w:style>
  <w:style w:type="character" w:customStyle="1" w:styleId="FooterChar">
    <w:name w:val="Footer Char"/>
    <w:basedOn w:val="DefaultParagraphFont"/>
    <w:link w:val="Footer"/>
    <w:uiPriority w:val="99"/>
    <w:rsid w:val="00A956BD"/>
    <w:rPr>
      <w:rFonts w:ascii="Calibri" w:eastAsia="Calibri" w:hAnsi="Calibri" w:cs="Calibri"/>
    </w:rPr>
  </w:style>
  <w:style w:type="character" w:customStyle="1" w:styleId="Hyperlink1">
    <w:name w:val="Hyperlink1"/>
    <w:basedOn w:val="DefaultParagraphFont"/>
    <w:uiPriority w:val="99"/>
    <w:unhideWhenUsed/>
    <w:rsid w:val="00A956BD"/>
    <w:rPr>
      <w:color w:val="0000FF"/>
      <w:u w:val="single"/>
    </w:rPr>
  </w:style>
  <w:style w:type="character" w:styleId="CommentReference">
    <w:name w:val="annotation reference"/>
    <w:basedOn w:val="DefaultParagraphFont"/>
    <w:uiPriority w:val="99"/>
    <w:semiHidden/>
    <w:unhideWhenUsed/>
    <w:rsid w:val="00A956BD"/>
    <w:rPr>
      <w:sz w:val="16"/>
      <w:szCs w:val="16"/>
    </w:rPr>
  </w:style>
  <w:style w:type="paragraph" w:styleId="CommentText">
    <w:name w:val="annotation text"/>
    <w:basedOn w:val="Normal"/>
    <w:link w:val="CommentTextChar"/>
    <w:uiPriority w:val="99"/>
    <w:semiHidden/>
    <w:unhideWhenUsed/>
    <w:rsid w:val="00A956BD"/>
    <w:pPr>
      <w:widowControl w:val="0"/>
      <w:autoSpaceDE w:val="0"/>
      <w:autoSpaceDN w:val="0"/>
      <w:spacing w:after="0" w:line="240" w:lineRule="auto"/>
      <w:ind w:left="567"/>
    </w:pPr>
    <w:rPr>
      <w:rFonts w:ascii="Calibri" w:eastAsia="Calibri" w:hAnsi="Calibri" w:cs="Calibri"/>
      <w:sz w:val="20"/>
      <w:szCs w:val="20"/>
    </w:rPr>
  </w:style>
  <w:style w:type="character" w:customStyle="1" w:styleId="CommentTextChar">
    <w:name w:val="Comment Text Char"/>
    <w:basedOn w:val="DefaultParagraphFont"/>
    <w:link w:val="CommentText"/>
    <w:uiPriority w:val="99"/>
    <w:semiHidden/>
    <w:rsid w:val="00A956BD"/>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A956BD"/>
    <w:rPr>
      <w:b/>
      <w:bCs/>
    </w:rPr>
  </w:style>
  <w:style w:type="character" w:customStyle="1" w:styleId="CommentSubjectChar">
    <w:name w:val="Comment Subject Char"/>
    <w:basedOn w:val="CommentTextChar"/>
    <w:link w:val="CommentSubject"/>
    <w:uiPriority w:val="99"/>
    <w:semiHidden/>
    <w:rsid w:val="00A956BD"/>
    <w:rPr>
      <w:rFonts w:ascii="Calibri" w:eastAsia="Calibri" w:hAnsi="Calibri" w:cs="Calibri"/>
      <w:b/>
      <w:bCs/>
      <w:sz w:val="20"/>
      <w:szCs w:val="20"/>
    </w:rPr>
  </w:style>
  <w:style w:type="paragraph" w:styleId="BalloonText">
    <w:name w:val="Balloon Text"/>
    <w:basedOn w:val="Normal"/>
    <w:link w:val="BalloonTextChar"/>
    <w:uiPriority w:val="99"/>
    <w:semiHidden/>
    <w:unhideWhenUsed/>
    <w:rsid w:val="00A956BD"/>
    <w:pPr>
      <w:widowControl w:val="0"/>
      <w:autoSpaceDE w:val="0"/>
      <w:autoSpaceDN w:val="0"/>
      <w:spacing w:after="0" w:line="240" w:lineRule="auto"/>
      <w:ind w:left="567"/>
    </w:pPr>
    <w:rPr>
      <w:rFonts w:ascii="Segoe UI" w:eastAsia="Calibri" w:hAnsi="Segoe UI" w:cs="Segoe UI"/>
      <w:sz w:val="18"/>
      <w:szCs w:val="18"/>
    </w:rPr>
  </w:style>
  <w:style w:type="character" w:customStyle="1" w:styleId="BalloonTextChar">
    <w:name w:val="Balloon Text Char"/>
    <w:basedOn w:val="DefaultParagraphFont"/>
    <w:link w:val="BalloonText"/>
    <w:uiPriority w:val="99"/>
    <w:semiHidden/>
    <w:rsid w:val="00A956BD"/>
    <w:rPr>
      <w:rFonts w:ascii="Segoe UI" w:eastAsia="Calibri" w:hAnsi="Segoe UI" w:cs="Segoe UI"/>
      <w:sz w:val="18"/>
      <w:szCs w:val="18"/>
    </w:rPr>
  </w:style>
  <w:style w:type="paragraph" w:customStyle="1" w:styleId="Default">
    <w:name w:val="Default"/>
    <w:rsid w:val="00A956BD"/>
    <w:pPr>
      <w:autoSpaceDE w:val="0"/>
      <w:autoSpaceDN w:val="0"/>
      <w:adjustRightInd w:val="0"/>
      <w:spacing w:after="0" w:line="240" w:lineRule="auto"/>
    </w:pPr>
    <w:rPr>
      <w:rFonts w:ascii="Calibri" w:hAnsi="Calibri" w:cs="Calibri"/>
      <w:color w:val="000000"/>
      <w:sz w:val="24"/>
      <w:szCs w:val="24"/>
    </w:rPr>
  </w:style>
  <w:style w:type="table" w:styleId="TableGrid">
    <w:name w:val="Table Grid"/>
    <w:basedOn w:val="TableNormal"/>
    <w:uiPriority w:val="99"/>
    <w:rsid w:val="00A956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A956BD"/>
    <w:pPr>
      <w:spacing w:before="100" w:beforeAutospacing="1" w:after="100" w:afterAutospacing="1" w:line="240" w:lineRule="auto"/>
      <w:ind w:left="567"/>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99"/>
    <w:rsid w:val="00A956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99"/>
    <w:rsid w:val="00A956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99"/>
    <w:rsid w:val="00A956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99"/>
    <w:rsid w:val="00A956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nseQuote">
    <w:name w:val="Intense Quote"/>
    <w:basedOn w:val="Normal"/>
    <w:next w:val="Normal"/>
    <w:link w:val="IntenseQuoteChar1"/>
    <w:uiPriority w:val="30"/>
    <w:qFormat/>
    <w:rsid w:val="00A956BD"/>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1">
    <w:name w:val="Intense Quote Char1"/>
    <w:basedOn w:val="DefaultParagraphFont"/>
    <w:link w:val="IntenseQuote"/>
    <w:uiPriority w:val="30"/>
    <w:rsid w:val="00A956BD"/>
    <w:rPr>
      <w:i/>
      <w:iCs/>
      <w:color w:val="5B9BD5" w:themeColor="accent1"/>
    </w:rPr>
  </w:style>
  <w:style w:type="character" w:customStyle="1" w:styleId="Heading2Char1">
    <w:name w:val="Heading 2 Char1"/>
    <w:basedOn w:val="DefaultParagraphFont"/>
    <w:link w:val="Heading2"/>
    <w:uiPriority w:val="9"/>
    <w:rsid w:val="00A956BD"/>
    <w:rPr>
      <w:rFonts w:asciiTheme="majorHAnsi" w:eastAsia="Cambria" w:hAnsiTheme="majorHAnsi" w:cstheme="majorBidi"/>
      <w:b/>
      <w:color w:val="1F4E79" w:themeColor="accent1" w:themeShade="80"/>
      <w:sz w:val="32"/>
      <w:szCs w:val="26"/>
    </w:rPr>
  </w:style>
  <w:style w:type="character" w:customStyle="1" w:styleId="Heading3Char1">
    <w:name w:val="Heading 3 Char1"/>
    <w:basedOn w:val="DefaultParagraphFont"/>
    <w:link w:val="Heading3"/>
    <w:uiPriority w:val="9"/>
    <w:rsid w:val="00A956BD"/>
    <w:rPr>
      <w:rFonts w:asciiTheme="majorHAnsi" w:eastAsiaTheme="majorEastAsia" w:hAnsiTheme="majorHAnsi" w:cstheme="majorBidi"/>
      <w:color w:val="1F4D78" w:themeColor="accent1" w:themeShade="7F"/>
      <w:sz w:val="28"/>
      <w:szCs w:val="24"/>
    </w:rPr>
  </w:style>
  <w:style w:type="character" w:styleId="Hyperlink">
    <w:name w:val="Hyperlink"/>
    <w:basedOn w:val="DefaultParagraphFont"/>
    <w:uiPriority w:val="99"/>
    <w:unhideWhenUsed/>
    <w:rsid w:val="00A956BD"/>
    <w:rPr>
      <w:color w:val="0563C1" w:themeColor="hyperlink"/>
      <w:u w:val="single"/>
    </w:rPr>
  </w:style>
  <w:style w:type="table" w:customStyle="1" w:styleId="TableGrid5">
    <w:name w:val="Table Grid5"/>
    <w:basedOn w:val="TableNormal"/>
    <w:next w:val="TableGrid"/>
    <w:uiPriority w:val="99"/>
    <w:rsid w:val="00A956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A956BD"/>
    <w:pPr>
      <w:spacing w:after="0" w:line="240" w:lineRule="auto"/>
    </w:pPr>
  </w:style>
  <w:style w:type="paragraph" w:customStyle="1" w:styleId="m9000832314544992108msolistparagraph">
    <w:name w:val="m_9000832314544992108msolistparagraph"/>
    <w:basedOn w:val="Normal"/>
    <w:rsid w:val="00A956B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PageNumber">
    <w:name w:val="page number"/>
    <w:basedOn w:val="DefaultParagraphFont"/>
    <w:uiPriority w:val="99"/>
    <w:unhideWhenUsed/>
    <w:rsid w:val="00A956BD"/>
  </w:style>
  <w:style w:type="character" w:styleId="FollowedHyperlink">
    <w:name w:val="FollowedHyperlink"/>
    <w:basedOn w:val="DefaultParagraphFont"/>
    <w:uiPriority w:val="99"/>
    <w:semiHidden/>
    <w:unhideWhenUsed/>
    <w:rsid w:val="00A956BD"/>
    <w:rPr>
      <w:color w:val="954F72"/>
      <w:u w:val="single"/>
    </w:rPr>
  </w:style>
  <w:style w:type="paragraph" w:customStyle="1" w:styleId="font0">
    <w:name w:val="font0"/>
    <w:basedOn w:val="Normal"/>
    <w:rsid w:val="00A956BD"/>
    <w:pPr>
      <w:spacing w:before="100" w:beforeAutospacing="1" w:after="100" w:afterAutospacing="1" w:line="240" w:lineRule="auto"/>
    </w:pPr>
    <w:rPr>
      <w:rFonts w:ascii="Calibri" w:eastAsia="Times New Roman" w:hAnsi="Calibri" w:cs="Calibri"/>
      <w:color w:val="000000"/>
      <w:lang w:eastAsia="en-GB"/>
    </w:rPr>
  </w:style>
  <w:style w:type="paragraph" w:customStyle="1" w:styleId="font5">
    <w:name w:val="font5"/>
    <w:basedOn w:val="Normal"/>
    <w:rsid w:val="00A956BD"/>
    <w:pPr>
      <w:spacing w:before="100" w:beforeAutospacing="1" w:after="100" w:afterAutospacing="1" w:line="240" w:lineRule="auto"/>
    </w:pPr>
    <w:rPr>
      <w:rFonts w:ascii="Calibri" w:eastAsia="Times New Roman" w:hAnsi="Calibri" w:cs="Calibri"/>
      <w:b/>
      <w:bCs/>
      <w:color w:val="000000"/>
      <w:lang w:eastAsia="en-GB"/>
    </w:rPr>
  </w:style>
  <w:style w:type="paragraph" w:customStyle="1" w:styleId="font6">
    <w:name w:val="font6"/>
    <w:basedOn w:val="Normal"/>
    <w:rsid w:val="00A956BD"/>
    <w:pPr>
      <w:spacing w:before="100" w:beforeAutospacing="1" w:after="100" w:afterAutospacing="1" w:line="240" w:lineRule="auto"/>
    </w:pPr>
    <w:rPr>
      <w:rFonts w:ascii="Calibri" w:eastAsia="Times New Roman" w:hAnsi="Calibri" w:cs="Calibri"/>
      <w:color w:val="0F243E"/>
      <w:lang w:eastAsia="en-GB"/>
    </w:rPr>
  </w:style>
  <w:style w:type="paragraph" w:customStyle="1" w:styleId="font7">
    <w:name w:val="font7"/>
    <w:basedOn w:val="Normal"/>
    <w:rsid w:val="00A956BD"/>
    <w:pPr>
      <w:spacing w:before="100" w:beforeAutospacing="1" w:after="100" w:afterAutospacing="1" w:line="240" w:lineRule="auto"/>
    </w:pPr>
    <w:rPr>
      <w:rFonts w:ascii="Calibri" w:eastAsia="Times New Roman" w:hAnsi="Calibri" w:cs="Calibri"/>
      <w:i/>
      <w:iCs/>
      <w:color w:val="0F243E"/>
      <w:lang w:eastAsia="en-GB"/>
    </w:rPr>
  </w:style>
  <w:style w:type="paragraph" w:customStyle="1" w:styleId="font8">
    <w:name w:val="font8"/>
    <w:basedOn w:val="Normal"/>
    <w:rsid w:val="00A956BD"/>
    <w:pPr>
      <w:spacing w:before="100" w:beforeAutospacing="1" w:after="100" w:afterAutospacing="1" w:line="240" w:lineRule="auto"/>
    </w:pPr>
    <w:rPr>
      <w:rFonts w:ascii="Calibri" w:eastAsia="Times New Roman" w:hAnsi="Calibri" w:cs="Calibri"/>
      <w:b/>
      <w:bCs/>
      <w:color w:val="0F243E"/>
      <w:lang w:eastAsia="en-GB"/>
    </w:rPr>
  </w:style>
  <w:style w:type="paragraph" w:customStyle="1" w:styleId="font9">
    <w:name w:val="font9"/>
    <w:basedOn w:val="Normal"/>
    <w:rsid w:val="00A956BD"/>
    <w:pPr>
      <w:spacing w:before="100" w:beforeAutospacing="1" w:after="100" w:afterAutospacing="1" w:line="240" w:lineRule="auto"/>
    </w:pPr>
    <w:rPr>
      <w:rFonts w:ascii="Calibri" w:eastAsia="Times New Roman" w:hAnsi="Calibri" w:cs="Calibri"/>
      <w:color w:val="0F243E"/>
      <w:lang w:eastAsia="en-GB"/>
    </w:rPr>
  </w:style>
  <w:style w:type="paragraph" w:customStyle="1" w:styleId="xl65">
    <w:name w:val="xl65"/>
    <w:basedOn w:val="Normal"/>
    <w:rsid w:val="00A956BD"/>
    <w:pPr>
      <w:pBdr>
        <w:top w:val="single" w:sz="4" w:space="0" w:color="auto"/>
        <w:left w:val="single" w:sz="4" w:space="0" w:color="auto"/>
        <w:bottom w:val="single" w:sz="4" w:space="0" w:color="auto"/>
        <w:right w:val="single" w:sz="4" w:space="0" w:color="auto"/>
      </w:pBdr>
      <w:shd w:val="clear" w:color="000000" w:fill="CCCC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n-GB"/>
    </w:rPr>
  </w:style>
  <w:style w:type="paragraph" w:customStyle="1" w:styleId="xl66">
    <w:name w:val="xl66"/>
    <w:basedOn w:val="Normal"/>
    <w:rsid w:val="00A956BD"/>
    <w:pPr>
      <w:pBdr>
        <w:top w:val="single" w:sz="4" w:space="0" w:color="auto"/>
        <w:left w:val="single" w:sz="4" w:space="0" w:color="auto"/>
        <w:bottom w:val="single" w:sz="4" w:space="0" w:color="auto"/>
        <w:right w:val="single" w:sz="4" w:space="0" w:color="auto"/>
      </w:pBdr>
      <w:shd w:val="clear" w:color="000000" w:fill="CCCCFF"/>
      <w:spacing w:before="100" w:beforeAutospacing="1" w:after="100" w:afterAutospacing="1" w:line="240" w:lineRule="auto"/>
      <w:textAlignment w:val="center"/>
    </w:pPr>
    <w:rPr>
      <w:rFonts w:ascii="Times New Roman" w:eastAsia="Times New Roman" w:hAnsi="Times New Roman" w:cs="Times New Roman"/>
      <w:b/>
      <w:bCs/>
      <w:sz w:val="24"/>
      <w:szCs w:val="24"/>
      <w:lang w:eastAsia="en-GB"/>
    </w:rPr>
  </w:style>
  <w:style w:type="paragraph" w:customStyle="1" w:styleId="xl67">
    <w:name w:val="xl67"/>
    <w:basedOn w:val="Normal"/>
    <w:rsid w:val="00A956BD"/>
    <w:pP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68">
    <w:name w:val="xl68"/>
    <w:basedOn w:val="Normal"/>
    <w:rsid w:val="00A956BD"/>
    <w:pP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69">
    <w:name w:val="xl69"/>
    <w:basedOn w:val="Normal"/>
    <w:rsid w:val="00A956BD"/>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70">
    <w:name w:val="xl70"/>
    <w:basedOn w:val="Normal"/>
    <w:rsid w:val="00A956BD"/>
    <w:pP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71">
    <w:name w:val="xl71"/>
    <w:basedOn w:val="Normal"/>
    <w:rsid w:val="00A956BD"/>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72">
    <w:name w:val="xl72"/>
    <w:basedOn w:val="Normal"/>
    <w:rsid w:val="00A956B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73">
    <w:name w:val="xl73"/>
    <w:basedOn w:val="Normal"/>
    <w:rsid w:val="00A956B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74">
    <w:name w:val="xl74"/>
    <w:basedOn w:val="Normal"/>
    <w:rsid w:val="00A956B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75">
    <w:name w:val="xl75"/>
    <w:basedOn w:val="Normal"/>
    <w:rsid w:val="00A956B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76">
    <w:name w:val="xl76"/>
    <w:basedOn w:val="Normal"/>
    <w:rsid w:val="00A956B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F243E"/>
      <w:sz w:val="24"/>
      <w:szCs w:val="24"/>
      <w:lang w:eastAsia="en-GB"/>
    </w:rPr>
  </w:style>
  <w:style w:type="paragraph" w:customStyle="1" w:styleId="xl77">
    <w:name w:val="xl77"/>
    <w:basedOn w:val="Normal"/>
    <w:rsid w:val="00A956B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78">
    <w:name w:val="xl78"/>
    <w:basedOn w:val="Normal"/>
    <w:rsid w:val="00A956B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F243E"/>
      <w:sz w:val="24"/>
      <w:szCs w:val="24"/>
      <w:lang w:eastAsia="en-GB"/>
    </w:rPr>
  </w:style>
  <w:style w:type="paragraph" w:customStyle="1" w:styleId="xl79">
    <w:name w:val="xl79"/>
    <w:basedOn w:val="Normal"/>
    <w:rsid w:val="00A956B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80">
    <w:name w:val="xl80"/>
    <w:basedOn w:val="Normal"/>
    <w:rsid w:val="00A956B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81">
    <w:name w:val="xl81"/>
    <w:basedOn w:val="Normal"/>
    <w:rsid w:val="00A956B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82">
    <w:name w:val="xl82"/>
    <w:basedOn w:val="Normal"/>
    <w:rsid w:val="00A956B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83">
    <w:name w:val="xl83"/>
    <w:basedOn w:val="Normal"/>
    <w:rsid w:val="00A956B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0F243E"/>
      <w:sz w:val="24"/>
      <w:szCs w:val="24"/>
      <w:lang w:eastAsia="en-GB"/>
    </w:rPr>
  </w:style>
  <w:style w:type="paragraph" w:customStyle="1" w:styleId="xl84">
    <w:name w:val="xl84"/>
    <w:basedOn w:val="Normal"/>
    <w:rsid w:val="00A956BD"/>
    <w:pPr>
      <w:pBdr>
        <w:top w:val="single" w:sz="4" w:space="0" w:color="auto"/>
        <w:left w:val="single" w:sz="4" w:space="31" w:color="auto"/>
        <w:bottom w:val="single" w:sz="4" w:space="0" w:color="auto"/>
        <w:right w:val="single" w:sz="4" w:space="0" w:color="auto"/>
      </w:pBdr>
      <w:spacing w:before="100" w:beforeAutospacing="1" w:after="100" w:afterAutospacing="1" w:line="240" w:lineRule="auto"/>
      <w:ind w:firstLineChars="500" w:firstLine="500"/>
      <w:textAlignment w:val="center"/>
    </w:pPr>
    <w:rPr>
      <w:rFonts w:ascii="Courier New" w:eastAsia="Times New Roman" w:hAnsi="Courier New" w:cs="Courier New"/>
      <w:color w:val="0F243E"/>
      <w:sz w:val="24"/>
      <w:szCs w:val="24"/>
      <w:lang w:eastAsia="en-GB"/>
    </w:rPr>
  </w:style>
  <w:style w:type="paragraph" w:customStyle="1" w:styleId="xl85">
    <w:name w:val="xl85"/>
    <w:basedOn w:val="Normal"/>
    <w:rsid w:val="00A956B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F243E"/>
      <w:sz w:val="24"/>
      <w:szCs w:val="24"/>
      <w:lang w:eastAsia="en-GB"/>
    </w:rPr>
  </w:style>
  <w:style w:type="paragraph" w:customStyle="1" w:styleId="xl86">
    <w:name w:val="xl86"/>
    <w:basedOn w:val="Normal"/>
    <w:rsid w:val="00A956BD"/>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87">
    <w:name w:val="xl87"/>
    <w:basedOn w:val="Normal"/>
    <w:rsid w:val="00A956BD"/>
    <w:pPr>
      <w:pBdr>
        <w:top w:val="single" w:sz="4" w:space="0" w:color="auto"/>
        <w:left w:val="single" w:sz="4" w:space="0" w:color="auto"/>
        <w:bottom w:val="single" w:sz="4" w:space="0" w:color="auto"/>
        <w:right w:val="single" w:sz="4" w:space="0" w:color="auto"/>
      </w:pBdr>
      <w:shd w:val="clear" w:color="000000" w:fill="FFD966"/>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88">
    <w:name w:val="xl88"/>
    <w:basedOn w:val="Normal"/>
    <w:rsid w:val="00A956BD"/>
    <w:pPr>
      <w:pBdr>
        <w:top w:val="single" w:sz="4" w:space="0" w:color="auto"/>
        <w:left w:val="single" w:sz="4" w:space="0" w:color="auto"/>
        <w:bottom w:val="single" w:sz="4" w:space="0" w:color="auto"/>
        <w:right w:val="single" w:sz="4" w:space="0" w:color="auto"/>
      </w:pBdr>
      <w:shd w:val="clear" w:color="000000" w:fill="9BC2E6"/>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89">
    <w:name w:val="xl89"/>
    <w:basedOn w:val="Normal"/>
    <w:rsid w:val="00A956B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Courier New" w:eastAsia="Times New Roman" w:hAnsi="Courier New" w:cs="Courier New"/>
      <w:b/>
      <w:bCs/>
      <w:color w:val="0F243E"/>
      <w:sz w:val="24"/>
      <w:szCs w:val="24"/>
      <w:lang w:eastAsia="en-GB"/>
    </w:rPr>
  </w:style>
  <w:style w:type="paragraph" w:customStyle="1" w:styleId="xl90">
    <w:name w:val="xl90"/>
    <w:basedOn w:val="Normal"/>
    <w:rsid w:val="00A956B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b/>
      <w:bCs/>
      <w:sz w:val="24"/>
      <w:szCs w:val="24"/>
      <w:lang w:eastAsia="en-GB"/>
    </w:rPr>
  </w:style>
  <w:style w:type="paragraph" w:customStyle="1" w:styleId="xl91">
    <w:name w:val="xl91"/>
    <w:basedOn w:val="Normal"/>
    <w:rsid w:val="00A956B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b/>
      <w:bCs/>
      <w:color w:val="0F243E"/>
      <w:sz w:val="24"/>
      <w:szCs w:val="24"/>
      <w:lang w:eastAsia="en-GB"/>
    </w:rPr>
  </w:style>
  <w:style w:type="paragraph" w:customStyle="1" w:styleId="xl92">
    <w:name w:val="xl92"/>
    <w:basedOn w:val="Normal"/>
    <w:rsid w:val="00A956B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b/>
      <w:bCs/>
      <w:sz w:val="24"/>
      <w:szCs w:val="24"/>
      <w:lang w:eastAsia="en-GB"/>
    </w:rPr>
  </w:style>
  <w:style w:type="paragraph" w:customStyle="1" w:styleId="xl93">
    <w:name w:val="xl93"/>
    <w:basedOn w:val="Normal"/>
    <w:rsid w:val="00A956BD"/>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textAlignment w:val="center"/>
    </w:pPr>
    <w:rPr>
      <w:rFonts w:ascii="Times New Roman" w:eastAsia="Times New Roman" w:hAnsi="Times New Roman" w:cs="Times New Roman"/>
      <w:color w:val="FFFFFF"/>
      <w:sz w:val="24"/>
      <w:szCs w:val="24"/>
      <w:lang w:eastAsia="en-GB"/>
    </w:rPr>
  </w:style>
  <w:style w:type="paragraph" w:customStyle="1" w:styleId="xl94">
    <w:name w:val="xl94"/>
    <w:basedOn w:val="Normal"/>
    <w:rsid w:val="00A956B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F243E"/>
      <w:sz w:val="24"/>
      <w:szCs w:val="24"/>
      <w:lang w:eastAsia="en-GB"/>
    </w:rPr>
  </w:style>
  <w:style w:type="paragraph" w:customStyle="1" w:styleId="xl95">
    <w:name w:val="xl95"/>
    <w:basedOn w:val="Normal"/>
    <w:rsid w:val="00A956B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96">
    <w:name w:val="xl96"/>
    <w:basedOn w:val="Normal"/>
    <w:rsid w:val="00A956B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FF0000"/>
      <w:sz w:val="24"/>
      <w:szCs w:val="24"/>
      <w:lang w:eastAsia="en-GB"/>
    </w:rPr>
  </w:style>
  <w:style w:type="paragraph" w:customStyle="1" w:styleId="xl97">
    <w:name w:val="xl97"/>
    <w:basedOn w:val="Normal"/>
    <w:rsid w:val="00A956BD"/>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98">
    <w:name w:val="xl98"/>
    <w:basedOn w:val="Normal"/>
    <w:rsid w:val="00A956B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F243E"/>
      <w:sz w:val="24"/>
      <w:szCs w:val="24"/>
      <w:lang w:eastAsia="en-GB"/>
    </w:rPr>
  </w:style>
  <w:style w:type="paragraph" w:customStyle="1" w:styleId="xl63">
    <w:name w:val="xl63"/>
    <w:basedOn w:val="Normal"/>
    <w:rsid w:val="00A956BD"/>
    <w:pPr>
      <w:pBdr>
        <w:top w:val="single" w:sz="4" w:space="0" w:color="auto"/>
        <w:left w:val="single" w:sz="4" w:space="0" w:color="auto"/>
        <w:bottom w:val="single" w:sz="4" w:space="0" w:color="auto"/>
        <w:right w:val="single" w:sz="4" w:space="0" w:color="auto"/>
      </w:pBdr>
      <w:shd w:val="clear" w:color="000000" w:fill="CCCC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n-GB"/>
    </w:rPr>
  </w:style>
  <w:style w:type="paragraph" w:customStyle="1" w:styleId="xl64">
    <w:name w:val="xl64"/>
    <w:basedOn w:val="Normal"/>
    <w:rsid w:val="00A956BD"/>
    <w:pPr>
      <w:pBdr>
        <w:top w:val="single" w:sz="4" w:space="0" w:color="auto"/>
        <w:left w:val="single" w:sz="4" w:space="0" w:color="auto"/>
        <w:bottom w:val="single" w:sz="4" w:space="0" w:color="auto"/>
        <w:right w:val="single" w:sz="4" w:space="0" w:color="auto"/>
      </w:pBdr>
      <w:shd w:val="clear" w:color="000000" w:fill="CCCCFF"/>
      <w:spacing w:before="100" w:beforeAutospacing="1" w:after="100" w:afterAutospacing="1" w:line="240" w:lineRule="auto"/>
      <w:textAlignment w:val="center"/>
    </w:pPr>
    <w:rPr>
      <w:rFonts w:ascii="Times New Roman" w:eastAsia="Times New Roman" w:hAnsi="Times New Roman" w:cs="Times New Roman"/>
      <w:b/>
      <w:bCs/>
      <w:sz w:val="24"/>
      <w:szCs w:val="24"/>
      <w:lang w:eastAsia="en-GB"/>
    </w:rPr>
  </w:style>
  <w:style w:type="paragraph" w:customStyle="1" w:styleId="xl99">
    <w:name w:val="xl99"/>
    <w:basedOn w:val="Normal"/>
    <w:rsid w:val="00A956B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ourier New" w:eastAsia="Times New Roman" w:hAnsi="Courier New" w:cs="Courier New"/>
      <w:b/>
      <w:bCs/>
      <w:color w:val="0F243E"/>
      <w:sz w:val="24"/>
      <w:szCs w:val="24"/>
      <w:lang w:eastAsia="en-GB"/>
    </w:rPr>
  </w:style>
  <w:style w:type="paragraph" w:customStyle="1" w:styleId="xl100">
    <w:name w:val="xl100"/>
    <w:basedOn w:val="Normal"/>
    <w:rsid w:val="00A956B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package" Target="embeddings/Microsoft_Visio_Drawing1.vsdx"/><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1.emf"/><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0.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19</Pages>
  <Words>6443</Words>
  <Characters>36728</Characters>
  <Application>Microsoft Office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Gwenan Roberts (CTUHB - NCCU Corporate Services)</dc:creator>
  <cp:keywords/>
  <dc:description/>
  <cp:lastModifiedBy>Gwenan Roberts (CTUHB - NCCU Corporate Services)</cp:lastModifiedBy>
  <cp:revision>3</cp:revision>
  <dcterms:created xsi:type="dcterms:W3CDTF">2020-03-02T14:18:00Z</dcterms:created>
  <dcterms:modified xsi:type="dcterms:W3CDTF">2020-03-04T15:00:00Z</dcterms:modified>
</cp:coreProperties>
</file>