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7A4C0B03" w:rsidR="00BA1AF1" w:rsidRPr="00BA1AF1" w:rsidRDefault="0049517E" w:rsidP="00BA1AF1">
            <w:pPr>
              <w:jc w:val="center"/>
              <w:rPr>
                <w:rFonts w:ascii="Verdana" w:hAnsi="Verdana"/>
                <w:sz w:val="24"/>
                <w:szCs w:val="24"/>
              </w:rPr>
            </w:pPr>
            <w:r>
              <w:rPr>
                <w:rFonts w:ascii="Verdana" w:hAnsi="Verdana"/>
                <w:sz w:val="24"/>
                <w:szCs w:val="24"/>
              </w:rPr>
              <w:t>2.2</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77777777" w:rsidR="00577535" w:rsidRPr="00E23B12" w:rsidRDefault="006B56A4" w:rsidP="006B56A4">
            <w:pPr>
              <w:rPr>
                <w:rFonts w:ascii="Verdana" w:hAnsi="Verdana" w:cs="Arial"/>
                <w:color w:val="FF0000"/>
                <w:sz w:val="24"/>
                <w:szCs w:val="24"/>
              </w:rPr>
            </w:pPr>
            <w:r>
              <w:rPr>
                <w:rStyle w:val="Style8"/>
                <w:rFonts w:ascii="Verdana" w:hAnsi="Verdana"/>
                <w:color w:val="000000" w:themeColor="text1"/>
                <w:szCs w:val="24"/>
              </w:rPr>
              <w:t>09</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March</w:t>
            </w:r>
            <w:r w:rsidR="00424248">
              <w:rPr>
                <w:rStyle w:val="Style8"/>
                <w:rFonts w:ascii="Verdana" w:hAnsi="Verdana"/>
                <w:color w:val="000000" w:themeColor="text1"/>
                <w:szCs w:val="24"/>
              </w:rPr>
              <w:t xml:space="preserve"> 202</w:t>
            </w:r>
            <w:r>
              <w:rPr>
                <w:rStyle w:val="Style8"/>
                <w:rFonts w:ascii="Verdana" w:hAnsi="Verdana"/>
                <w:color w:val="000000" w:themeColor="text1"/>
                <w:szCs w:val="24"/>
              </w:rPr>
              <w:t>1</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39C27A60"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to provide an update on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77777777" w:rsidR="00076E9C" w:rsidRPr="00E47A8D" w:rsidRDefault="00076E9C" w:rsidP="00E47A8D">
      <w:pPr>
        <w:pStyle w:val="ListParagraph"/>
        <w:spacing w:after="240"/>
        <w:ind w:left="709"/>
        <w:jc w:val="both"/>
        <w:rPr>
          <w:rFonts w:ascii="Verdana" w:eastAsia="Calibri" w:hAnsi="Verdana" w:cs="Arial"/>
          <w:b/>
          <w:sz w:val="24"/>
          <w:szCs w:val="24"/>
          <w:u w:val="single"/>
        </w:rPr>
      </w:pPr>
      <w:r w:rsidRPr="00E47A8D">
        <w:rPr>
          <w:rFonts w:ascii="Verdana" w:eastAsia="Calibri" w:hAnsi="Verdana" w:cs="Arial"/>
          <w:b/>
          <w:sz w:val="24"/>
          <w:szCs w:val="24"/>
          <w:u w:val="single"/>
        </w:rPr>
        <w:t xml:space="preserve">CoVID-19 </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7655A0F5" w:rsidR="007C2548" w:rsidRPr="000254B1" w:rsidRDefault="00165F24" w:rsidP="000254B1">
      <w:pPr>
        <w:spacing w:after="0" w:line="240" w:lineRule="auto"/>
        <w:ind w:left="709" w:hanging="709"/>
        <w:jc w:val="both"/>
        <w:rPr>
          <w:rFonts w:ascii="Verdana" w:eastAsia="Calibri" w:hAnsi="Verdana" w:cs="Arial"/>
          <w:sz w:val="24"/>
        </w:rPr>
      </w:pPr>
      <w:r w:rsidRPr="000254B1">
        <w:rPr>
          <w:rFonts w:ascii="Verdana" w:eastAsia="Calibri" w:hAnsi="Verdana" w:cs="Arial"/>
          <w:sz w:val="24"/>
          <w:szCs w:val="24"/>
        </w:rPr>
        <w:t>2.3</w:t>
      </w:r>
      <w:r w:rsidRPr="000254B1">
        <w:rPr>
          <w:rFonts w:ascii="Verdana" w:eastAsia="Calibri" w:hAnsi="Verdana" w:cs="Arial"/>
          <w:sz w:val="24"/>
          <w:szCs w:val="24"/>
        </w:rPr>
        <w:tab/>
      </w:r>
      <w:r w:rsidR="007C2548" w:rsidRPr="00903F3C">
        <w:rPr>
          <w:rFonts w:ascii="Verdana" w:eastAsia="Calibri" w:hAnsi="Verdana" w:cs="Arial"/>
          <w:sz w:val="24"/>
          <w:szCs w:val="24"/>
        </w:rPr>
        <w:t xml:space="preserve">The Trust is tracking CoVID-19 and related metrics through its weekly CoVID-19 Intelligence Pack.  </w:t>
      </w:r>
      <w:r w:rsidR="008A489F">
        <w:rPr>
          <w:rFonts w:ascii="Verdana" w:eastAsia="Calibri" w:hAnsi="Verdana" w:cs="Arial"/>
          <w:sz w:val="24"/>
          <w:szCs w:val="24"/>
        </w:rPr>
        <w:t xml:space="preserve">Throughout this second wave, despite increases in the numbers of infected cases, </w:t>
      </w:r>
      <w:r w:rsidR="007C2548" w:rsidRPr="000254B1">
        <w:rPr>
          <w:rFonts w:ascii="Verdana" w:eastAsia="Calibri" w:hAnsi="Verdana" w:cs="Arial"/>
          <w:sz w:val="24"/>
          <w:szCs w:val="24"/>
        </w:rPr>
        <w:t xml:space="preserve">there </w:t>
      </w:r>
      <w:r w:rsidR="008A489F">
        <w:rPr>
          <w:rFonts w:ascii="Verdana" w:eastAsia="Calibri" w:hAnsi="Verdana" w:cs="Arial"/>
          <w:sz w:val="24"/>
          <w:szCs w:val="24"/>
        </w:rPr>
        <w:t xml:space="preserve">has been </w:t>
      </w:r>
      <w:r w:rsidR="007C2548" w:rsidRPr="000254B1">
        <w:rPr>
          <w:rFonts w:ascii="Verdana" w:eastAsia="Calibri" w:hAnsi="Verdana" w:cs="Arial"/>
          <w:sz w:val="24"/>
          <w:szCs w:val="24"/>
        </w:rPr>
        <w:t>no material change in 999 call volumes, EMS response or conveyance</w:t>
      </w:r>
      <w:r w:rsidR="0011023E">
        <w:rPr>
          <w:rFonts w:ascii="Verdana" w:eastAsia="Calibri" w:hAnsi="Verdana" w:cs="Arial"/>
          <w:sz w:val="24"/>
          <w:szCs w:val="24"/>
        </w:rPr>
        <w:t xml:space="preserve"> volumes</w:t>
      </w:r>
      <w:r w:rsidR="008A489F">
        <w:rPr>
          <w:rFonts w:ascii="Verdana" w:eastAsia="Calibri" w:hAnsi="Verdana" w:cs="Arial"/>
          <w:sz w:val="24"/>
          <w:szCs w:val="24"/>
        </w:rPr>
        <w:t xml:space="preserve">. The </w:t>
      </w:r>
      <w:r w:rsidR="007C2548" w:rsidRPr="00903F3C">
        <w:rPr>
          <w:rFonts w:ascii="Verdana" w:eastAsia="Calibri" w:hAnsi="Verdana" w:cs="Arial"/>
          <w:b/>
          <w:sz w:val="24"/>
          <w:szCs w:val="24"/>
        </w:rPr>
        <w:t>impact of the second wave on the roster abstractions has been significant</w:t>
      </w:r>
      <w:r w:rsidR="008A489F">
        <w:rPr>
          <w:rFonts w:ascii="Verdana" w:eastAsia="Calibri" w:hAnsi="Verdana" w:cs="Arial"/>
          <w:b/>
          <w:sz w:val="24"/>
          <w:szCs w:val="24"/>
        </w:rPr>
        <w:t>, however</w:t>
      </w:r>
      <w:r w:rsidR="007C2548" w:rsidRPr="000254B1">
        <w:rPr>
          <w:rFonts w:ascii="Verdana" w:eastAsia="Calibri" w:hAnsi="Verdana" w:cs="Arial"/>
          <w:sz w:val="24"/>
          <w:szCs w:val="24"/>
        </w:rPr>
        <w:t xml:space="preserve">.  </w:t>
      </w:r>
    </w:p>
    <w:p w14:paraId="2AC19B8B" w14:textId="77777777" w:rsidR="00076E9C" w:rsidRPr="00E47A8D" w:rsidRDefault="00076E9C" w:rsidP="00165F24">
      <w:pPr>
        <w:pStyle w:val="ListParagraph"/>
        <w:spacing w:after="0" w:line="240" w:lineRule="auto"/>
        <w:ind w:left="0"/>
        <w:rPr>
          <w:rFonts w:ascii="Verdana" w:eastAsia="Calibri" w:hAnsi="Verdana" w:cs="Arial"/>
          <w:sz w:val="24"/>
          <w:szCs w:val="24"/>
        </w:rPr>
      </w:pPr>
    </w:p>
    <w:p w14:paraId="6078DE77" w14:textId="77777777" w:rsidR="00076E9C" w:rsidRDefault="0011023E"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8D2A43">
        <w:rPr>
          <w:rFonts w:ascii="Verdana" w:eastAsia="Calibri" w:hAnsi="Verdana" w:cs="Arial"/>
          <w:sz w:val="24"/>
          <w:szCs w:val="24"/>
        </w:rPr>
        <w:tab/>
        <w:t>Tactical CoVID-19 forecasting, modelling and p</w:t>
      </w:r>
      <w:r w:rsidR="00401D1F">
        <w:rPr>
          <w:rFonts w:ascii="Verdana" w:eastAsia="Calibri" w:hAnsi="Verdana" w:cs="Arial"/>
          <w:sz w:val="24"/>
          <w:szCs w:val="24"/>
        </w:rPr>
        <w:t>lanning has also been undertaken which is described in more detail later in the report</w:t>
      </w:r>
      <w:r w:rsidR="00076E9C" w:rsidRPr="00E47A8D">
        <w:rPr>
          <w:rFonts w:ascii="Verdana" w:eastAsia="Calibri" w:hAnsi="Verdana" w:cs="Arial"/>
          <w:sz w:val="24"/>
          <w:szCs w:val="24"/>
        </w:rPr>
        <w:t>.</w:t>
      </w:r>
    </w:p>
    <w:p w14:paraId="0949F82C" w14:textId="77777777" w:rsidR="00DF7D0A" w:rsidRPr="00EC54C6" w:rsidRDefault="00DF7D0A" w:rsidP="00DF7D0A">
      <w:pPr>
        <w:pStyle w:val="ListParagraph"/>
        <w:spacing w:after="0" w:line="240" w:lineRule="auto"/>
        <w:ind w:left="993"/>
        <w:jc w:val="both"/>
        <w:rPr>
          <w:rFonts w:ascii="Verdana" w:hAnsi="Verdana" w:cstheme="minorHAnsi"/>
          <w:sz w:val="24"/>
        </w:rPr>
      </w:pPr>
    </w:p>
    <w:p w14:paraId="75C26601" w14:textId="1BE58C55" w:rsidR="00DF7D0A" w:rsidRPr="0017112C" w:rsidRDefault="00DF7D0A" w:rsidP="00811987">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WAST is </w:t>
      </w:r>
      <w:r w:rsidR="000254B1">
        <w:rPr>
          <w:rFonts w:ascii="Verdana" w:hAnsi="Verdana"/>
          <w:b/>
          <w:sz w:val="24"/>
          <w:szCs w:val="24"/>
        </w:rPr>
        <w:t xml:space="preserve">currently (01 Mar-21) </w:t>
      </w:r>
      <w:r w:rsidR="00903F3C">
        <w:rPr>
          <w:rFonts w:ascii="Verdana" w:hAnsi="Verdana"/>
          <w:b/>
          <w:sz w:val="24"/>
          <w:szCs w:val="24"/>
        </w:rPr>
        <w:t xml:space="preserve">back in monitor </w:t>
      </w:r>
      <w:r w:rsidR="008D2A43">
        <w:rPr>
          <w:rFonts w:ascii="Verdana" w:hAnsi="Verdana"/>
          <w:b/>
          <w:sz w:val="24"/>
          <w:szCs w:val="24"/>
        </w:rPr>
        <w:t>mode</w:t>
      </w:r>
      <w:r w:rsidR="00D6368F">
        <w:rPr>
          <w:rFonts w:ascii="Verdana" w:hAnsi="Verdana"/>
          <w:b/>
          <w:sz w:val="24"/>
          <w:szCs w:val="24"/>
        </w:rPr>
        <w:t xml:space="preserve">; the increase in positive test results </w:t>
      </w:r>
      <w:r w:rsidR="00700B38">
        <w:rPr>
          <w:rFonts w:ascii="Verdana" w:hAnsi="Verdana"/>
          <w:b/>
          <w:sz w:val="24"/>
          <w:szCs w:val="24"/>
        </w:rPr>
        <w:t>has not</w:t>
      </w:r>
      <w:r w:rsidR="000254B1">
        <w:rPr>
          <w:rFonts w:ascii="Verdana" w:hAnsi="Verdana"/>
          <w:b/>
          <w:sz w:val="24"/>
          <w:szCs w:val="24"/>
        </w:rPr>
        <w:t xml:space="preserve"> had a significant impact on call demand, response demand or conveyance demand</w:t>
      </w:r>
      <w:r w:rsidR="00441F99">
        <w:rPr>
          <w:rFonts w:ascii="Verdana" w:hAnsi="Verdana"/>
          <w:b/>
          <w:sz w:val="24"/>
          <w:szCs w:val="24"/>
        </w:rPr>
        <w:t>,</w:t>
      </w:r>
      <w:r w:rsidR="000254B1">
        <w:rPr>
          <w:rFonts w:ascii="Verdana" w:hAnsi="Verdana"/>
          <w:b/>
          <w:sz w:val="24"/>
          <w:szCs w:val="24"/>
        </w:rPr>
        <w:t xml:space="preserve"> but CoVID-19 has had a significant impact on roster abstractions</w:t>
      </w:r>
      <w:r w:rsidR="008A489F">
        <w:rPr>
          <w:rFonts w:ascii="Verdana" w:hAnsi="Verdana"/>
          <w:b/>
          <w:sz w:val="24"/>
          <w:szCs w:val="24"/>
        </w:rPr>
        <w:t xml:space="preserve"> and</w:t>
      </w:r>
      <w:r w:rsidR="000254B1">
        <w:rPr>
          <w:rFonts w:ascii="Verdana" w:hAnsi="Verdana"/>
          <w:b/>
          <w:sz w:val="24"/>
          <w:szCs w:val="24"/>
        </w:rPr>
        <w:t xml:space="preserve"> capacity.  </w:t>
      </w:r>
    </w:p>
    <w:p w14:paraId="3DD03324" w14:textId="77777777" w:rsidR="00183B48" w:rsidRDefault="00183B48" w:rsidP="00D6368F">
      <w:pPr>
        <w:pStyle w:val="ListParagraph"/>
        <w:spacing w:after="0" w:line="240" w:lineRule="auto"/>
        <w:ind w:left="142"/>
        <w:jc w:val="both"/>
        <w:rPr>
          <w:rFonts w:ascii="Verdana" w:eastAsia="Calibri" w:hAnsi="Verdana" w:cs="Arial"/>
          <w:b/>
          <w:sz w:val="24"/>
          <w:szCs w:val="24"/>
          <w:u w:val="single"/>
        </w:rPr>
      </w:pPr>
    </w:p>
    <w:p w14:paraId="7746D2CD" w14:textId="77777777" w:rsidR="00076E9C" w:rsidRPr="00E47A8D" w:rsidRDefault="00076E9C" w:rsidP="00A97B5E">
      <w:pPr>
        <w:pStyle w:val="ListParagraph"/>
        <w:spacing w:after="0" w:line="240" w:lineRule="auto"/>
        <w:ind w:left="709"/>
        <w:jc w:val="both"/>
        <w:rPr>
          <w:rFonts w:ascii="Verdana" w:eastAsia="Calibri" w:hAnsi="Verdana" w:cs="Arial"/>
          <w:b/>
          <w:sz w:val="24"/>
          <w:szCs w:val="24"/>
          <w:u w:val="single"/>
        </w:rPr>
      </w:pPr>
      <w:r w:rsidRPr="00E47A8D">
        <w:rPr>
          <w:rFonts w:ascii="Verdana" w:eastAsia="Calibri" w:hAnsi="Verdana" w:cs="Arial"/>
          <w:b/>
          <w:sz w:val="24"/>
          <w:szCs w:val="24"/>
          <w:u w:val="single"/>
        </w:rPr>
        <w:t xml:space="preserve">Quality, Safety &amp; Patient Experience </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3B002214" w:rsidR="00043A16" w:rsidRDefault="0011023E"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8933D2">
        <w:rPr>
          <w:rFonts w:ascii="Verdana" w:eastAsia="Calibri" w:hAnsi="Verdana" w:cs="Arial"/>
          <w:sz w:val="24"/>
          <w:szCs w:val="24"/>
        </w:rPr>
        <w:tab/>
      </w:r>
      <w:r w:rsidR="0007346B">
        <w:rPr>
          <w:rFonts w:ascii="Verdana" w:eastAsia="Calibri" w:hAnsi="Verdana" w:cs="Arial"/>
          <w:sz w:val="24"/>
          <w:szCs w:val="24"/>
        </w:rPr>
        <w:t xml:space="preserve">One of </w:t>
      </w:r>
      <w:r w:rsidR="00903F3C">
        <w:rPr>
          <w:rFonts w:ascii="Verdana" w:eastAsia="Calibri" w:hAnsi="Verdana" w:cs="Arial"/>
          <w:sz w:val="24"/>
          <w:szCs w:val="24"/>
        </w:rPr>
        <w:t xml:space="preserve">the key indicators </w:t>
      </w:r>
      <w:r w:rsidR="008A489F">
        <w:rPr>
          <w:rFonts w:ascii="Verdana" w:eastAsia="Calibri" w:hAnsi="Verdana" w:cs="Arial"/>
          <w:sz w:val="24"/>
          <w:szCs w:val="24"/>
        </w:rPr>
        <w:t>which measure the</w:t>
      </w:r>
      <w:r w:rsidR="0007346B">
        <w:rPr>
          <w:rFonts w:ascii="Verdana" w:eastAsia="Calibri" w:hAnsi="Verdana" w:cs="Arial"/>
          <w:sz w:val="24"/>
          <w:szCs w:val="24"/>
        </w:rPr>
        <w:t xml:space="preserve"> quality of the service provided is the timeliness of the response to patients waiting in the community</w:t>
      </w:r>
      <w:r>
        <w:rPr>
          <w:rFonts w:ascii="Verdana" w:eastAsia="Calibri" w:hAnsi="Verdana" w:cs="Arial"/>
          <w:sz w:val="24"/>
          <w:szCs w:val="24"/>
        </w:rPr>
        <w:t xml:space="preserve"> by WAST</w:t>
      </w:r>
      <w:r w:rsidR="0007346B">
        <w:rPr>
          <w:rFonts w:ascii="Verdana" w:eastAsia="Calibri" w:hAnsi="Verdana" w:cs="Arial"/>
          <w:sz w:val="24"/>
          <w:szCs w:val="24"/>
        </w:rPr>
        <w:t xml:space="preserve">. The graphs </w:t>
      </w:r>
      <w:r>
        <w:rPr>
          <w:rFonts w:ascii="Verdana" w:eastAsia="Calibri" w:hAnsi="Verdana" w:cs="Arial"/>
          <w:sz w:val="24"/>
          <w:szCs w:val="24"/>
        </w:rPr>
        <w:t>overleaf</w:t>
      </w:r>
      <w:r w:rsidR="0007346B">
        <w:rPr>
          <w:rFonts w:ascii="Verdana" w:eastAsia="Calibri" w:hAnsi="Verdana" w:cs="Arial"/>
          <w:sz w:val="24"/>
          <w:szCs w:val="24"/>
        </w:rPr>
        <w:t xml:space="preserve"> show the current response times pe</w:t>
      </w:r>
      <w:r w:rsidR="00903F3C">
        <w:rPr>
          <w:rFonts w:ascii="Verdana" w:eastAsia="Calibri" w:hAnsi="Verdana" w:cs="Arial"/>
          <w:sz w:val="24"/>
          <w:szCs w:val="24"/>
        </w:rPr>
        <w:t>rformance for Red calls and for A</w:t>
      </w:r>
      <w:r w:rsidR="0007346B">
        <w:rPr>
          <w:rFonts w:ascii="Verdana" w:eastAsia="Calibri" w:hAnsi="Verdana" w:cs="Arial"/>
          <w:sz w:val="24"/>
          <w:szCs w:val="24"/>
        </w:rPr>
        <w:t>mber calls. Both graphs show that</w:t>
      </w:r>
      <w:r w:rsidR="00043A16">
        <w:rPr>
          <w:rFonts w:ascii="Verdana" w:eastAsia="Calibri" w:hAnsi="Verdana" w:cs="Arial"/>
          <w:sz w:val="24"/>
          <w:szCs w:val="24"/>
        </w:rPr>
        <w:t xml:space="preserve"> during the first wave of the pandemic</w:t>
      </w:r>
      <w:r w:rsidR="00084FED">
        <w:rPr>
          <w:rFonts w:ascii="Verdana" w:eastAsia="Calibri" w:hAnsi="Verdana" w:cs="Arial"/>
          <w:sz w:val="24"/>
          <w:szCs w:val="24"/>
        </w:rPr>
        <w:t>,</w:t>
      </w:r>
      <w:r w:rsidR="00043A16">
        <w:rPr>
          <w:rFonts w:ascii="Verdana" w:eastAsia="Calibri" w:hAnsi="Verdana" w:cs="Arial"/>
          <w:sz w:val="24"/>
          <w:szCs w:val="24"/>
        </w:rPr>
        <w:t xml:space="preserve"> response time</w:t>
      </w:r>
      <w:r w:rsidR="00903F3C">
        <w:rPr>
          <w:rFonts w:ascii="Verdana" w:eastAsia="Calibri" w:hAnsi="Verdana" w:cs="Arial"/>
          <w:sz w:val="24"/>
          <w:szCs w:val="24"/>
        </w:rPr>
        <w:t>s improved significantly, with A</w:t>
      </w:r>
      <w:r w:rsidR="00043A16">
        <w:rPr>
          <w:rFonts w:ascii="Verdana" w:eastAsia="Calibri" w:hAnsi="Verdana" w:cs="Arial"/>
          <w:sz w:val="24"/>
          <w:szCs w:val="24"/>
        </w:rPr>
        <w:t>mber response times particularly improved</w:t>
      </w:r>
      <w:r w:rsidR="008D534D">
        <w:rPr>
          <w:rFonts w:ascii="Verdana" w:eastAsia="Calibri" w:hAnsi="Verdana" w:cs="Arial"/>
          <w:sz w:val="24"/>
          <w:szCs w:val="24"/>
        </w:rPr>
        <w:t>; however</w:t>
      </w:r>
      <w:r w:rsidR="00043A16">
        <w:rPr>
          <w:rFonts w:ascii="Verdana" w:eastAsia="Calibri" w:hAnsi="Verdana" w:cs="Arial"/>
          <w:sz w:val="24"/>
          <w:szCs w:val="24"/>
        </w:rPr>
        <w:t>, response times increas</w:t>
      </w:r>
      <w:r w:rsidR="00903F3C">
        <w:rPr>
          <w:rFonts w:ascii="Verdana" w:eastAsia="Calibri" w:hAnsi="Verdana" w:cs="Arial"/>
          <w:sz w:val="24"/>
          <w:szCs w:val="24"/>
        </w:rPr>
        <w:t>ed in quarter three</w:t>
      </w:r>
      <w:r w:rsidR="00043A16">
        <w:rPr>
          <w:rFonts w:ascii="Verdana" w:eastAsia="Calibri" w:hAnsi="Verdana" w:cs="Arial"/>
          <w:sz w:val="24"/>
          <w:szCs w:val="24"/>
        </w:rPr>
        <w:t xml:space="preserve">, with particular concerns around </w:t>
      </w:r>
      <w:r w:rsidR="00401D1F">
        <w:rPr>
          <w:rFonts w:ascii="Verdana" w:eastAsia="Calibri" w:hAnsi="Verdana" w:cs="Arial"/>
          <w:sz w:val="24"/>
          <w:szCs w:val="24"/>
        </w:rPr>
        <w:t xml:space="preserve">very </w:t>
      </w:r>
      <w:r w:rsidR="00043A16">
        <w:rPr>
          <w:rFonts w:ascii="Verdana" w:eastAsia="Calibri" w:hAnsi="Verdana" w:cs="Arial"/>
          <w:sz w:val="24"/>
          <w:szCs w:val="24"/>
        </w:rPr>
        <w:t>long amber tails</w:t>
      </w:r>
      <w:r w:rsidR="00903F3C">
        <w:rPr>
          <w:rFonts w:ascii="Verdana" w:eastAsia="Calibri" w:hAnsi="Verdana" w:cs="Arial"/>
          <w:sz w:val="24"/>
          <w:szCs w:val="24"/>
        </w:rPr>
        <w:t xml:space="preserve"> again</w:t>
      </w:r>
      <w:r w:rsidR="00043A16">
        <w:rPr>
          <w:rFonts w:ascii="Verdana" w:eastAsia="Calibri" w:hAnsi="Verdana" w:cs="Arial"/>
          <w:sz w:val="24"/>
          <w:szCs w:val="24"/>
        </w:rPr>
        <w:t>.</w:t>
      </w:r>
      <w:r w:rsidR="00A617BF">
        <w:rPr>
          <w:rFonts w:ascii="Verdana" w:eastAsia="Calibri" w:hAnsi="Verdana" w:cs="Arial"/>
          <w:sz w:val="24"/>
          <w:szCs w:val="24"/>
        </w:rPr>
        <w:t xml:space="preserve"> As we move out of the second wave, we are starti</w:t>
      </w:r>
      <w:r w:rsidR="00441F99">
        <w:rPr>
          <w:rFonts w:ascii="Verdana" w:eastAsia="Calibri" w:hAnsi="Verdana" w:cs="Arial"/>
          <w:sz w:val="24"/>
          <w:szCs w:val="24"/>
        </w:rPr>
        <w:t>ng to see improvements in both Red and A</w:t>
      </w:r>
      <w:r w:rsidR="00A617BF">
        <w:rPr>
          <w:rFonts w:ascii="Verdana" w:eastAsia="Calibri" w:hAnsi="Verdana" w:cs="Arial"/>
          <w:sz w:val="24"/>
          <w:szCs w:val="24"/>
        </w:rPr>
        <w:t>mber response times.</w:t>
      </w:r>
    </w:p>
    <w:p w14:paraId="0D87C1C5" w14:textId="77777777" w:rsidR="00043A16" w:rsidRDefault="00043A16" w:rsidP="0007346B">
      <w:pPr>
        <w:spacing w:after="0" w:line="240" w:lineRule="auto"/>
        <w:ind w:left="720" w:hanging="720"/>
        <w:jc w:val="both"/>
        <w:rPr>
          <w:rFonts w:ascii="Verdana" w:eastAsia="Calibri" w:hAnsi="Verdana" w:cs="Arial"/>
          <w:sz w:val="24"/>
          <w:szCs w:val="24"/>
        </w:rPr>
      </w:pPr>
    </w:p>
    <w:p w14:paraId="524F75AA" w14:textId="77777777" w:rsidR="0049517E" w:rsidRDefault="0049517E" w:rsidP="0007346B">
      <w:pPr>
        <w:spacing w:after="0" w:line="240" w:lineRule="auto"/>
        <w:ind w:left="720" w:hanging="720"/>
        <w:jc w:val="both"/>
        <w:rPr>
          <w:rFonts w:ascii="Verdana" w:eastAsia="Calibri" w:hAnsi="Verdana" w:cs="Arial"/>
          <w:sz w:val="24"/>
          <w:szCs w:val="24"/>
        </w:rPr>
      </w:pPr>
    </w:p>
    <w:p w14:paraId="2C2165B4" w14:textId="3E968EC0" w:rsidR="008933D2" w:rsidRPr="008933D2" w:rsidRDefault="0011023E"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lastRenderedPageBreak/>
        <w:t>2.6</w:t>
      </w:r>
      <w:r w:rsidR="00043A16">
        <w:rPr>
          <w:rFonts w:ascii="Verdana" w:eastAsia="Calibri" w:hAnsi="Verdana" w:cs="Arial"/>
          <w:sz w:val="24"/>
          <w:szCs w:val="24"/>
        </w:rPr>
        <w:tab/>
      </w:r>
      <w:r w:rsidR="000254B1" w:rsidRPr="00210BD1">
        <w:rPr>
          <w:rFonts w:ascii="Verdana" w:eastAsia="Calibri" w:hAnsi="Verdana" w:cs="Arial"/>
          <w:b/>
          <w:sz w:val="24"/>
          <w:szCs w:val="24"/>
        </w:rPr>
        <w:t>The R</w:t>
      </w:r>
      <w:r w:rsidR="00043A16" w:rsidRPr="00210BD1">
        <w:rPr>
          <w:rFonts w:ascii="Verdana" w:eastAsia="Calibri" w:hAnsi="Verdana" w:cs="Arial"/>
          <w:b/>
          <w:sz w:val="24"/>
          <w:szCs w:val="24"/>
        </w:rPr>
        <w:t>ed 8 minute ta</w:t>
      </w:r>
      <w:r w:rsidR="000254B1" w:rsidRPr="00210BD1">
        <w:rPr>
          <w:rFonts w:ascii="Verdana" w:eastAsia="Calibri" w:hAnsi="Verdana" w:cs="Arial"/>
          <w:b/>
          <w:sz w:val="24"/>
          <w:szCs w:val="24"/>
        </w:rPr>
        <w:t>rget was not achieved in Jan-21</w:t>
      </w:r>
      <w:r w:rsidR="00043A16">
        <w:rPr>
          <w:rFonts w:ascii="Verdana" w:eastAsia="Calibri" w:hAnsi="Verdana" w:cs="Arial"/>
          <w:b/>
          <w:sz w:val="24"/>
          <w:szCs w:val="24"/>
        </w:rPr>
        <w:t xml:space="preserve">. </w:t>
      </w:r>
      <w:r w:rsidR="00043A16" w:rsidRPr="00E47A8D">
        <w:rPr>
          <w:rFonts w:ascii="Verdana" w:eastAsia="Calibri" w:hAnsi="Verdana" w:cs="Arial"/>
          <w:sz w:val="24"/>
          <w:szCs w:val="24"/>
        </w:rPr>
        <w:t xml:space="preserve">The percentage of emergency responses to </w:t>
      </w:r>
      <w:r w:rsidR="000254B1">
        <w:rPr>
          <w:rFonts w:ascii="Verdana" w:eastAsia="Calibri" w:hAnsi="Verdana" w:cs="Arial"/>
          <w:sz w:val="24"/>
          <w:szCs w:val="24"/>
        </w:rPr>
        <w:t>R</w:t>
      </w:r>
      <w:r w:rsidR="00043A16" w:rsidRPr="00E47A8D">
        <w:rPr>
          <w:rFonts w:ascii="Verdana" w:eastAsia="Calibri" w:hAnsi="Verdana" w:cs="Arial"/>
          <w:sz w:val="24"/>
          <w:szCs w:val="24"/>
        </w:rPr>
        <w:t xml:space="preserve">ed incidents within 8 minutes was </w:t>
      </w:r>
      <w:r w:rsidR="000254B1">
        <w:rPr>
          <w:rFonts w:ascii="Verdana" w:eastAsia="Calibri" w:hAnsi="Verdana" w:cs="Arial"/>
          <w:sz w:val="24"/>
          <w:szCs w:val="24"/>
        </w:rPr>
        <w:t>59</w:t>
      </w:r>
      <w:r w:rsidR="00043A16" w:rsidRPr="00043A16">
        <w:rPr>
          <w:rFonts w:ascii="Verdana" w:eastAsia="Calibri" w:hAnsi="Verdana" w:cs="Arial"/>
          <w:sz w:val="24"/>
          <w:szCs w:val="24"/>
        </w:rPr>
        <w:t>.</w:t>
      </w:r>
      <w:r w:rsidR="000254B1">
        <w:rPr>
          <w:rFonts w:ascii="Verdana" w:eastAsia="Calibri" w:hAnsi="Verdana" w:cs="Arial"/>
          <w:sz w:val="24"/>
          <w:szCs w:val="24"/>
        </w:rPr>
        <w:t>6</w:t>
      </w:r>
      <w:r w:rsidR="00043A16" w:rsidRPr="00043A16">
        <w:rPr>
          <w:rFonts w:ascii="Verdana" w:eastAsia="Calibri" w:hAnsi="Verdana" w:cs="Arial"/>
          <w:sz w:val="24"/>
          <w:szCs w:val="24"/>
        </w:rPr>
        <w:t>%</w:t>
      </w:r>
      <w:r>
        <w:rPr>
          <w:rFonts w:ascii="Verdana" w:eastAsia="Calibri" w:hAnsi="Verdana" w:cs="Arial"/>
          <w:sz w:val="24"/>
          <w:szCs w:val="24"/>
        </w:rPr>
        <w:t xml:space="preserve"> (target 65%) with</w:t>
      </w:r>
      <w:r w:rsidR="00043A16">
        <w:rPr>
          <w:rFonts w:ascii="Verdana" w:eastAsia="Calibri" w:hAnsi="Verdana" w:cs="Arial"/>
          <w:sz w:val="24"/>
          <w:szCs w:val="24"/>
        </w:rPr>
        <w:t xml:space="preserve"> </w:t>
      </w:r>
      <w:r w:rsidR="00084FED">
        <w:rPr>
          <w:rFonts w:ascii="Verdana" w:eastAsia="Calibri" w:hAnsi="Verdana" w:cs="Arial"/>
          <w:sz w:val="24"/>
          <w:szCs w:val="24"/>
        </w:rPr>
        <w:t xml:space="preserve">95% of </w:t>
      </w:r>
      <w:r>
        <w:rPr>
          <w:rFonts w:ascii="Verdana" w:eastAsia="Calibri" w:hAnsi="Verdana" w:cs="Arial"/>
          <w:sz w:val="24"/>
          <w:szCs w:val="24"/>
        </w:rPr>
        <w:t xml:space="preserve">Red </w:t>
      </w:r>
      <w:r w:rsidR="00084FED">
        <w:rPr>
          <w:rFonts w:ascii="Verdana" w:eastAsia="Calibri" w:hAnsi="Verdana" w:cs="Arial"/>
          <w:sz w:val="24"/>
          <w:szCs w:val="24"/>
        </w:rPr>
        <w:t>calls receiving a response within</w:t>
      </w:r>
      <w:r w:rsidR="00043A16">
        <w:rPr>
          <w:rFonts w:ascii="Verdana" w:eastAsia="Calibri" w:hAnsi="Verdana" w:cs="Arial"/>
          <w:sz w:val="24"/>
          <w:szCs w:val="24"/>
        </w:rPr>
        <w:t xml:space="preserve"> 1</w:t>
      </w:r>
      <w:r w:rsidR="000254B1">
        <w:rPr>
          <w:rFonts w:ascii="Verdana" w:eastAsia="Calibri" w:hAnsi="Verdana" w:cs="Arial"/>
          <w:sz w:val="24"/>
          <w:szCs w:val="24"/>
        </w:rPr>
        <w:t>9</w:t>
      </w:r>
      <w:r w:rsidR="00043A16">
        <w:rPr>
          <w:rFonts w:ascii="Verdana" w:eastAsia="Calibri" w:hAnsi="Verdana" w:cs="Arial"/>
          <w:sz w:val="24"/>
          <w:szCs w:val="24"/>
        </w:rPr>
        <w:t xml:space="preserve"> minutes. </w:t>
      </w:r>
      <w:r w:rsidR="00043A16" w:rsidRPr="00E47A8D">
        <w:rPr>
          <w:rFonts w:ascii="Verdana" w:eastAsia="Calibri" w:hAnsi="Verdana" w:cs="Arial"/>
          <w:bCs/>
          <w:sz w:val="24"/>
          <w:szCs w:val="24"/>
        </w:rPr>
        <w:t>The</w:t>
      </w:r>
      <w:r w:rsidR="00043A16" w:rsidRPr="00E47A8D">
        <w:rPr>
          <w:rFonts w:ascii="Verdana" w:eastAsia="Calibri" w:hAnsi="Verdana" w:cs="Arial"/>
          <w:b/>
          <w:sz w:val="24"/>
          <w:szCs w:val="24"/>
        </w:rPr>
        <w:t xml:space="preserve"> </w:t>
      </w:r>
      <w:r w:rsidR="00043A16">
        <w:rPr>
          <w:rFonts w:ascii="Verdana" w:eastAsia="Calibri" w:hAnsi="Verdana" w:cs="Arial"/>
          <w:bCs/>
          <w:sz w:val="24"/>
          <w:szCs w:val="24"/>
        </w:rPr>
        <w:t xml:space="preserve">Amber median percentile </w:t>
      </w:r>
      <w:r w:rsidR="000254B1">
        <w:rPr>
          <w:rFonts w:ascii="Verdana" w:eastAsia="Calibri" w:hAnsi="Verdana" w:cs="Arial"/>
          <w:bCs/>
          <w:sz w:val="24"/>
          <w:szCs w:val="24"/>
        </w:rPr>
        <w:t>in Jan</w:t>
      </w:r>
      <w:r w:rsidR="00043A16">
        <w:rPr>
          <w:rFonts w:ascii="Verdana" w:eastAsia="Calibri" w:hAnsi="Verdana" w:cs="Arial"/>
          <w:bCs/>
          <w:sz w:val="24"/>
          <w:szCs w:val="24"/>
        </w:rPr>
        <w:t>-2</w:t>
      </w:r>
      <w:r w:rsidR="000254B1">
        <w:rPr>
          <w:rFonts w:ascii="Verdana" w:eastAsia="Calibri" w:hAnsi="Verdana" w:cs="Arial"/>
          <w:bCs/>
          <w:sz w:val="24"/>
          <w:szCs w:val="24"/>
        </w:rPr>
        <w:t>1 was 39</w:t>
      </w:r>
      <w:r w:rsidR="00903F3C">
        <w:rPr>
          <w:rFonts w:ascii="Verdana" w:eastAsia="Calibri" w:hAnsi="Verdana" w:cs="Arial"/>
          <w:bCs/>
          <w:sz w:val="24"/>
          <w:szCs w:val="24"/>
        </w:rPr>
        <w:t xml:space="preserve"> minutes</w:t>
      </w:r>
      <w:r w:rsidR="000254B1">
        <w:rPr>
          <w:rFonts w:ascii="Verdana" w:eastAsia="Calibri" w:hAnsi="Verdana" w:cs="Arial"/>
          <w:bCs/>
          <w:sz w:val="24"/>
          <w:szCs w:val="24"/>
        </w:rPr>
        <w:t xml:space="preserve"> and the </w:t>
      </w:r>
      <w:r w:rsidR="00043A16">
        <w:rPr>
          <w:rFonts w:ascii="Verdana" w:eastAsia="Calibri" w:hAnsi="Verdana" w:cs="Arial"/>
          <w:sz w:val="24"/>
          <w:szCs w:val="24"/>
        </w:rPr>
        <w:t>Amber 95</w:t>
      </w:r>
      <w:r w:rsidR="00043A16" w:rsidRPr="00B42030">
        <w:rPr>
          <w:rFonts w:ascii="Verdana" w:eastAsia="Calibri" w:hAnsi="Verdana" w:cs="Arial"/>
          <w:sz w:val="24"/>
          <w:szCs w:val="24"/>
          <w:vertAlign w:val="superscript"/>
        </w:rPr>
        <w:t>th</w:t>
      </w:r>
      <w:r w:rsidR="00043A16">
        <w:rPr>
          <w:rFonts w:ascii="Verdana" w:eastAsia="Calibri" w:hAnsi="Verdana" w:cs="Arial"/>
          <w:sz w:val="24"/>
          <w:szCs w:val="24"/>
        </w:rPr>
        <w:t xml:space="preserve"> percentile </w:t>
      </w:r>
      <w:r w:rsidR="00084FED">
        <w:rPr>
          <w:rFonts w:ascii="Verdana" w:eastAsia="Calibri" w:hAnsi="Verdana" w:cs="Arial"/>
          <w:sz w:val="24"/>
          <w:szCs w:val="24"/>
        </w:rPr>
        <w:t>was</w:t>
      </w:r>
      <w:r w:rsidR="000254B1">
        <w:rPr>
          <w:rFonts w:ascii="Verdana" w:eastAsia="Calibri" w:hAnsi="Verdana" w:cs="Arial"/>
          <w:sz w:val="24"/>
          <w:szCs w:val="24"/>
        </w:rPr>
        <w:t xml:space="preserve"> three hours and 44 minutes</w:t>
      </w:r>
      <w:r w:rsidR="00084FED">
        <w:rPr>
          <w:rFonts w:ascii="Verdana" w:eastAsia="Calibri" w:hAnsi="Verdana" w:cs="Arial"/>
          <w:sz w:val="24"/>
          <w:szCs w:val="24"/>
        </w:rPr>
        <w:t>.</w:t>
      </w:r>
      <w:r w:rsidR="00157FAC">
        <w:rPr>
          <w:rFonts w:ascii="Verdana" w:eastAsia="Calibri" w:hAnsi="Verdana" w:cs="Arial"/>
          <w:sz w:val="24"/>
          <w:szCs w:val="24"/>
        </w:rPr>
        <w:t xml:space="preserve">  </w:t>
      </w:r>
    </w:p>
    <w:p w14:paraId="0938ADAA" w14:textId="77777777" w:rsidR="008933D2" w:rsidRDefault="008933D2" w:rsidP="008D2A43">
      <w:pPr>
        <w:spacing w:after="0" w:line="240" w:lineRule="auto"/>
        <w:ind w:left="709"/>
        <w:jc w:val="both"/>
        <w:rPr>
          <w:rFonts w:ascii="Verdana" w:eastAsia="Calibri" w:hAnsi="Verdana" w:cs="Arial"/>
          <w:sz w:val="24"/>
          <w:szCs w:val="24"/>
        </w:rPr>
      </w:pPr>
    </w:p>
    <w:p w14:paraId="5E6AFC31" w14:textId="77777777" w:rsidR="00157FAC" w:rsidRDefault="002A066F" w:rsidP="008D2A43">
      <w:pPr>
        <w:spacing w:after="0" w:line="240" w:lineRule="auto"/>
        <w:ind w:left="709"/>
        <w:jc w:val="both"/>
        <w:rPr>
          <w:rFonts w:ascii="Verdana" w:eastAsia="Calibri" w:hAnsi="Verdana" w:cs="Arial"/>
          <w:sz w:val="24"/>
          <w:szCs w:val="24"/>
        </w:rPr>
      </w:pPr>
      <w:r>
        <w:rPr>
          <w:noProof/>
          <w:lang w:val="en-GB" w:eastAsia="en-GB"/>
        </w:rPr>
        <w:drawing>
          <wp:inline distT="0" distB="0" distL="0" distR="0" wp14:anchorId="17776833" wp14:editId="637363B5">
            <wp:extent cx="5529943" cy="3026228"/>
            <wp:effectExtent l="0" t="0" r="13970" b="3175"/>
            <wp:docPr id="21" name="Chart 2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959CECC" w14:textId="77777777" w:rsidR="00157FAC" w:rsidRDefault="00157FAC" w:rsidP="008D2A43">
      <w:pPr>
        <w:spacing w:after="0" w:line="240" w:lineRule="auto"/>
        <w:ind w:left="709"/>
        <w:jc w:val="both"/>
        <w:rPr>
          <w:rFonts w:ascii="Verdana" w:eastAsia="Calibri" w:hAnsi="Verdana" w:cs="Arial"/>
          <w:sz w:val="24"/>
          <w:szCs w:val="24"/>
        </w:rPr>
      </w:pPr>
    </w:p>
    <w:p w14:paraId="155F50A3" w14:textId="77777777" w:rsidR="00157FAC" w:rsidRDefault="002A066F" w:rsidP="008D2A43">
      <w:pPr>
        <w:spacing w:after="0" w:line="240" w:lineRule="auto"/>
        <w:ind w:left="709"/>
        <w:jc w:val="both"/>
        <w:rPr>
          <w:rFonts w:ascii="Verdana" w:eastAsia="Calibri" w:hAnsi="Verdana" w:cs="Arial"/>
          <w:sz w:val="24"/>
          <w:szCs w:val="24"/>
        </w:rPr>
      </w:pPr>
      <w:r>
        <w:rPr>
          <w:noProof/>
          <w:lang w:val="en-GB" w:eastAsia="en-GB"/>
        </w:rPr>
        <w:drawing>
          <wp:inline distT="0" distB="0" distL="0" distR="0" wp14:anchorId="24F24D8E" wp14:editId="4F14CC32">
            <wp:extent cx="5562600" cy="3686628"/>
            <wp:effectExtent l="0" t="0" r="0" b="9525"/>
            <wp:docPr id="6"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A53F9B" w14:textId="77777777" w:rsidR="00157FAC" w:rsidRDefault="00157FAC" w:rsidP="008D2A43">
      <w:pPr>
        <w:spacing w:after="0" w:line="240" w:lineRule="auto"/>
        <w:ind w:left="709"/>
        <w:jc w:val="both"/>
        <w:rPr>
          <w:rFonts w:ascii="Verdana" w:eastAsia="Calibri" w:hAnsi="Verdana" w:cs="Arial"/>
          <w:sz w:val="24"/>
          <w:szCs w:val="24"/>
        </w:rPr>
      </w:pPr>
    </w:p>
    <w:p w14:paraId="4ADAE732" w14:textId="0F283308" w:rsidR="00084FED" w:rsidRDefault="0011023E" w:rsidP="00084FED">
      <w:pPr>
        <w:spacing w:after="0" w:line="240" w:lineRule="auto"/>
        <w:ind w:left="709" w:hanging="709"/>
        <w:jc w:val="both"/>
        <w:rPr>
          <w:rFonts w:ascii="Verdana" w:eastAsia="Calibri" w:hAnsi="Verdana" w:cs="Arial"/>
          <w:sz w:val="24"/>
          <w:szCs w:val="24"/>
          <w:u w:val="single"/>
        </w:rPr>
      </w:pPr>
      <w:r>
        <w:rPr>
          <w:rFonts w:ascii="Verdana" w:eastAsia="Calibri" w:hAnsi="Verdana" w:cs="Arial"/>
          <w:sz w:val="24"/>
          <w:szCs w:val="24"/>
        </w:rPr>
        <w:lastRenderedPageBreak/>
        <w:t>2.7</w:t>
      </w:r>
      <w:r w:rsidR="001004C2">
        <w:rPr>
          <w:rFonts w:ascii="Verdana" w:eastAsia="Calibri" w:hAnsi="Verdana" w:cs="Arial"/>
          <w:sz w:val="24"/>
          <w:szCs w:val="24"/>
        </w:rPr>
        <w:tab/>
      </w:r>
      <w:r>
        <w:rPr>
          <w:rFonts w:ascii="Verdana" w:eastAsia="Calibri" w:hAnsi="Verdana" w:cs="Arial"/>
          <w:sz w:val="24"/>
          <w:szCs w:val="24"/>
        </w:rPr>
        <w:t>WAST</w:t>
      </w:r>
      <w:r w:rsidR="00084FED">
        <w:rPr>
          <w:rFonts w:ascii="Verdana" w:eastAsia="Calibri" w:hAnsi="Verdana" w:cs="Arial"/>
          <w:sz w:val="24"/>
          <w:szCs w:val="24"/>
        </w:rPr>
        <w:t xml:space="preserve"> also continues to monitor the longest patient responses. The table below shows the number of patients who had to wait 12 hours</w:t>
      </w:r>
      <w:r>
        <w:rPr>
          <w:rFonts w:ascii="Verdana" w:eastAsia="Calibri" w:hAnsi="Verdana" w:cs="Arial"/>
          <w:sz w:val="24"/>
          <w:szCs w:val="24"/>
        </w:rPr>
        <w:t xml:space="preserve"> or</w:t>
      </w:r>
      <w:r w:rsidR="00903F3C">
        <w:rPr>
          <w:rFonts w:ascii="Verdana" w:eastAsia="Calibri" w:hAnsi="Verdana" w:cs="Arial"/>
          <w:sz w:val="24"/>
          <w:szCs w:val="24"/>
        </w:rPr>
        <w:t xml:space="preserve"> over</w:t>
      </w:r>
      <w:r w:rsidR="00084FED">
        <w:rPr>
          <w:rFonts w:ascii="Verdana" w:eastAsia="Calibri" w:hAnsi="Verdana" w:cs="Arial"/>
          <w:sz w:val="24"/>
          <w:szCs w:val="24"/>
        </w:rPr>
        <w:t>, and again, it can be seen that these very long waits were almost eliminated during the height of the pandemic, subsequently returned as s</w:t>
      </w:r>
      <w:r w:rsidR="002A066F">
        <w:rPr>
          <w:rFonts w:ascii="Verdana" w:eastAsia="Calibri" w:hAnsi="Verdana" w:cs="Arial"/>
          <w:sz w:val="24"/>
          <w:szCs w:val="24"/>
        </w:rPr>
        <w:t>ystem pressures increase</w:t>
      </w:r>
      <w:r w:rsidR="00903F3C">
        <w:rPr>
          <w:rFonts w:ascii="Verdana" w:eastAsia="Calibri" w:hAnsi="Verdana" w:cs="Arial"/>
          <w:sz w:val="24"/>
          <w:szCs w:val="24"/>
        </w:rPr>
        <w:t>d</w:t>
      </w:r>
      <w:r w:rsidR="00441F99">
        <w:rPr>
          <w:rFonts w:ascii="Verdana" w:eastAsia="Calibri" w:hAnsi="Verdana" w:cs="Arial"/>
          <w:sz w:val="24"/>
          <w:szCs w:val="24"/>
        </w:rPr>
        <w:t>,</w:t>
      </w:r>
      <w:r w:rsidR="00A617BF">
        <w:rPr>
          <w:rFonts w:ascii="Verdana" w:eastAsia="Calibri" w:hAnsi="Verdana" w:cs="Arial"/>
          <w:sz w:val="24"/>
          <w:szCs w:val="24"/>
        </w:rPr>
        <w:t xml:space="preserve"> but have again started to reduce as we move out of the second wave</w:t>
      </w:r>
      <w:r w:rsidR="002A066F">
        <w:rPr>
          <w:rFonts w:ascii="Verdana" w:eastAsia="Calibri" w:hAnsi="Verdana" w:cs="Arial"/>
          <w:sz w:val="24"/>
          <w:szCs w:val="24"/>
        </w:rPr>
        <w:t xml:space="preserve">. </w:t>
      </w:r>
      <w:r w:rsidR="002A066F" w:rsidRPr="00210BD1">
        <w:rPr>
          <w:rFonts w:ascii="Verdana" w:eastAsia="Calibri" w:hAnsi="Verdana" w:cs="Arial"/>
          <w:b/>
          <w:sz w:val="24"/>
          <w:szCs w:val="24"/>
        </w:rPr>
        <w:t>In Jan</w:t>
      </w:r>
      <w:r w:rsidR="00084FED" w:rsidRPr="00210BD1">
        <w:rPr>
          <w:rFonts w:ascii="Verdana" w:eastAsia="Calibri" w:hAnsi="Verdana" w:cs="Arial"/>
          <w:b/>
          <w:sz w:val="24"/>
          <w:szCs w:val="24"/>
        </w:rPr>
        <w:t>-2</w:t>
      </w:r>
      <w:r w:rsidR="002A066F" w:rsidRPr="00210BD1">
        <w:rPr>
          <w:rFonts w:ascii="Verdana" w:eastAsia="Calibri" w:hAnsi="Verdana" w:cs="Arial"/>
          <w:b/>
          <w:sz w:val="24"/>
          <w:szCs w:val="24"/>
        </w:rPr>
        <w:t>1 there were 89</w:t>
      </w:r>
      <w:r w:rsidR="00084FED" w:rsidRPr="00210BD1">
        <w:rPr>
          <w:rFonts w:ascii="Verdana" w:eastAsia="Calibri" w:hAnsi="Verdana" w:cs="Arial"/>
          <w:b/>
          <w:sz w:val="24"/>
          <w:szCs w:val="24"/>
        </w:rPr>
        <w:t xml:space="preserve"> patient waits for an ambulance of 12 hours or over</w:t>
      </w:r>
      <w:r w:rsidR="002A066F" w:rsidRPr="00210BD1">
        <w:rPr>
          <w:rFonts w:ascii="Verdana" w:eastAsia="Calibri" w:hAnsi="Verdana" w:cs="Arial"/>
          <w:b/>
          <w:sz w:val="24"/>
          <w:szCs w:val="24"/>
        </w:rPr>
        <w:t>, compared to 606 in Dec-20 and 3 in May-20</w:t>
      </w:r>
      <w:r w:rsidR="00084FED" w:rsidRPr="00E47A8D">
        <w:rPr>
          <w:rFonts w:ascii="Verdana" w:eastAsia="Calibri" w:hAnsi="Verdana" w:cs="Arial"/>
          <w:sz w:val="24"/>
          <w:szCs w:val="24"/>
        </w:rPr>
        <w:t xml:space="preserve">.  </w:t>
      </w:r>
    </w:p>
    <w:p w14:paraId="4AE44207" w14:textId="77777777" w:rsidR="00084FED" w:rsidRDefault="00084FED" w:rsidP="008D2A43">
      <w:pPr>
        <w:spacing w:after="0" w:line="240" w:lineRule="auto"/>
        <w:ind w:left="709"/>
        <w:jc w:val="both"/>
        <w:rPr>
          <w:rFonts w:ascii="Verdana" w:eastAsia="Calibri" w:hAnsi="Verdana" w:cs="Arial"/>
          <w:sz w:val="24"/>
          <w:szCs w:val="24"/>
          <w:u w:val="single"/>
        </w:rPr>
      </w:pPr>
    </w:p>
    <w:p w14:paraId="31C5F0B8" w14:textId="77777777" w:rsidR="00084FED" w:rsidRDefault="002A066F" w:rsidP="008D2A43">
      <w:pPr>
        <w:spacing w:after="0" w:line="240" w:lineRule="auto"/>
        <w:ind w:left="709"/>
        <w:jc w:val="both"/>
        <w:rPr>
          <w:rFonts w:ascii="Verdana" w:eastAsia="Calibri" w:hAnsi="Verdana" w:cs="Arial"/>
          <w:sz w:val="24"/>
          <w:szCs w:val="24"/>
          <w:u w:val="single"/>
        </w:rPr>
      </w:pPr>
      <w:r>
        <w:rPr>
          <w:noProof/>
          <w:lang w:val="en-GB" w:eastAsia="en-GB"/>
        </w:rPr>
        <w:drawing>
          <wp:inline distT="0" distB="0" distL="0" distR="0" wp14:anchorId="5A5EF45F" wp14:editId="07D1BD80">
            <wp:extent cx="5943600" cy="39547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954780"/>
                    </a:xfrm>
                    <a:prstGeom prst="rect">
                      <a:avLst/>
                    </a:prstGeom>
                  </pic:spPr>
                </pic:pic>
              </a:graphicData>
            </a:graphic>
          </wp:inline>
        </w:drawing>
      </w:r>
    </w:p>
    <w:p w14:paraId="11B08515" w14:textId="77777777" w:rsidR="00043A16" w:rsidRDefault="00043A16" w:rsidP="008D2A43">
      <w:pPr>
        <w:spacing w:after="0" w:line="240" w:lineRule="auto"/>
        <w:ind w:left="709"/>
        <w:jc w:val="both"/>
        <w:rPr>
          <w:rFonts w:ascii="Verdana" w:eastAsia="Calibri" w:hAnsi="Verdana" w:cs="Arial"/>
          <w:sz w:val="24"/>
          <w:szCs w:val="24"/>
          <w:u w:val="single"/>
        </w:rPr>
      </w:pPr>
    </w:p>
    <w:p w14:paraId="3BEE3FFC" w14:textId="5C9415C9" w:rsidR="00C00B3C" w:rsidRDefault="0011023E"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2.8</w:t>
      </w:r>
      <w:r w:rsidR="001004C2">
        <w:rPr>
          <w:rFonts w:ascii="Verdana" w:eastAsia="Calibri" w:hAnsi="Verdana" w:cs="Arial"/>
          <w:sz w:val="24"/>
          <w:szCs w:val="24"/>
        </w:rPr>
        <w:tab/>
      </w:r>
      <w:r w:rsidR="00084FED" w:rsidRPr="00084FED">
        <w:rPr>
          <w:rFonts w:ascii="Verdana" w:eastAsia="Calibri" w:hAnsi="Verdana" w:cs="Arial"/>
          <w:sz w:val="24"/>
          <w:szCs w:val="24"/>
        </w:rPr>
        <w:t>These long response times impact on patient safety and outcomes</w:t>
      </w:r>
      <w:r w:rsidR="00084FED">
        <w:rPr>
          <w:rFonts w:ascii="Verdana" w:eastAsia="Calibri" w:hAnsi="Verdana" w:cs="Arial"/>
          <w:sz w:val="24"/>
          <w:szCs w:val="24"/>
        </w:rPr>
        <w:t xml:space="preserve">. </w:t>
      </w:r>
      <w:r>
        <w:rPr>
          <w:rFonts w:ascii="Verdana" w:eastAsia="Calibri" w:hAnsi="Verdana" w:cs="Arial"/>
          <w:sz w:val="24"/>
          <w:szCs w:val="24"/>
        </w:rPr>
        <w:t>WAST</w:t>
      </w:r>
      <w:r w:rsidR="00084FED" w:rsidRPr="00E47A8D">
        <w:rPr>
          <w:rFonts w:ascii="Verdana" w:eastAsia="Calibri" w:hAnsi="Verdana" w:cs="Arial"/>
          <w:sz w:val="24"/>
          <w:szCs w:val="24"/>
        </w:rPr>
        <w:t xml:space="preserve"> </w:t>
      </w:r>
      <w:r w:rsidR="00084FED">
        <w:rPr>
          <w:rFonts w:ascii="Verdana" w:eastAsia="Calibri" w:hAnsi="Verdana" w:cs="Arial"/>
          <w:sz w:val="24"/>
          <w:szCs w:val="24"/>
        </w:rPr>
        <w:t xml:space="preserve">has been </w:t>
      </w:r>
      <w:r w:rsidR="00084FED" w:rsidRPr="00E47A8D">
        <w:rPr>
          <w:rFonts w:ascii="Verdana" w:eastAsia="Calibri" w:hAnsi="Verdana" w:cs="Arial"/>
          <w:sz w:val="24"/>
          <w:szCs w:val="24"/>
        </w:rPr>
        <w:t>suppl</w:t>
      </w:r>
      <w:r w:rsidR="00084FED">
        <w:rPr>
          <w:rFonts w:ascii="Verdana" w:eastAsia="Calibri" w:hAnsi="Verdana" w:cs="Arial"/>
          <w:sz w:val="24"/>
          <w:szCs w:val="24"/>
        </w:rPr>
        <w:t>ying</w:t>
      </w:r>
      <w:r w:rsidR="00084FED" w:rsidRPr="00E47A8D">
        <w:rPr>
          <w:rFonts w:ascii="Verdana" w:eastAsia="Calibri" w:hAnsi="Verdana" w:cs="Arial"/>
          <w:sz w:val="24"/>
          <w:szCs w:val="24"/>
        </w:rPr>
        <w:t xml:space="preserve"> </w:t>
      </w:r>
      <w:bookmarkStart w:id="0" w:name="_GoBack"/>
      <w:bookmarkEnd w:id="0"/>
      <w:r w:rsidR="00084FED" w:rsidRPr="00E47A8D">
        <w:rPr>
          <w:rFonts w:ascii="Verdana" w:eastAsia="Calibri" w:hAnsi="Verdana" w:cs="Arial"/>
          <w:sz w:val="24"/>
          <w:szCs w:val="24"/>
        </w:rPr>
        <w:t xml:space="preserve">information on quality, safety and patient experience to the </w:t>
      </w:r>
      <w:r w:rsidR="00084FED">
        <w:rPr>
          <w:rFonts w:ascii="Verdana" w:eastAsia="Calibri" w:hAnsi="Verdana" w:cs="Arial"/>
          <w:sz w:val="24"/>
          <w:szCs w:val="24"/>
        </w:rPr>
        <w:t>Chief Ambulance Services Commissioner (</w:t>
      </w:r>
      <w:r w:rsidR="00084FED" w:rsidRPr="00E47A8D">
        <w:rPr>
          <w:rFonts w:ascii="Verdana" w:eastAsia="Calibri" w:hAnsi="Verdana" w:cs="Arial"/>
          <w:sz w:val="24"/>
          <w:szCs w:val="24"/>
        </w:rPr>
        <w:t>CASC</w:t>
      </w:r>
      <w:r w:rsidR="00084FED">
        <w:rPr>
          <w:rFonts w:ascii="Verdana" w:eastAsia="Calibri" w:hAnsi="Verdana" w:cs="Arial"/>
          <w:sz w:val="24"/>
          <w:szCs w:val="24"/>
        </w:rPr>
        <w:t>)</w:t>
      </w:r>
      <w:r w:rsidR="00084FED" w:rsidRPr="00E47A8D">
        <w:rPr>
          <w:rFonts w:ascii="Verdana" w:eastAsia="Calibri" w:hAnsi="Verdana" w:cs="Arial"/>
          <w:sz w:val="24"/>
          <w:szCs w:val="24"/>
        </w:rPr>
        <w:t xml:space="preserve"> and monthly</w:t>
      </w:r>
      <w:r w:rsidR="00084FED">
        <w:rPr>
          <w:rFonts w:ascii="Verdana" w:eastAsia="Calibri" w:hAnsi="Verdana" w:cs="Arial"/>
          <w:sz w:val="24"/>
          <w:szCs w:val="24"/>
        </w:rPr>
        <w:t xml:space="preserve"> information</w:t>
      </w:r>
      <w:r w:rsidR="00084FED" w:rsidRPr="00E47A8D">
        <w:rPr>
          <w:rFonts w:ascii="Verdana" w:eastAsia="Calibri" w:hAnsi="Verdana" w:cs="Arial"/>
          <w:sz w:val="24"/>
          <w:szCs w:val="24"/>
        </w:rPr>
        <w:t xml:space="preserve"> through the CASC </w:t>
      </w:r>
      <w:r w:rsidR="0049517E">
        <w:rPr>
          <w:rFonts w:ascii="Verdana" w:eastAsia="Calibri" w:hAnsi="Verdana" w:cs="Arial"/>
          <w:sz w:val="24"/>
          <w:szCs w:val="24"/>
        </w:rPr>
        <w:t>Quality and Delivery</w:t>
      </w:r>
      <w:r w:rsidR="00084FED" w:rsidRPr="00E47A8D">
        <w:rPr>
          <w:rFonts w:ascii="Verdana" w:eastAsia="Calibri" w:hAnsi="Verdana" w:cs="Arial"/>
          <w:sz w:val="24"/>
          <w:szCs w:val="24"/>
        </w:rPr>
        <w:t xml:space="preserve"> Meeting mechanism. This information includes more detailed analysis, patient stories (positive and negative) and patient feedback from surveys.</w:t>
      </w:r>
      <w:r w:rsidR="00C00B3C">
        <w:rPr>
          <w:rFonts w:ascii="Verdana" w:eastAsia="Calibri" w:hAnsi="Verdana" w:cs="Arial"/>
          <w:sz w:val="24"/>
          <w:szCs w:val="24"/>
        </w:rPr>
        <w:t xml:space="preserve"> A number of specific patient stories relating to long response times are included in </w:t>
      </w:r>
      <w:r w:rsidR="00C00B3C" w:rsidRPr="00903F3C">
        <w:rPr>
          <w:rFonts w:ascii="Verdana" w:eastAsia="Calibri" w:hAnsi="Verdana" w:cs="Arial"/>
          <w:i/>
          <w:sz w:val="24"/>
          <w:szCs w:val="24"/>
        </w:rPr>
        <w:t>Appendix 1</w:t>
      </w:r>
      <w:r w:rsidR="00C00B3C">
        <w:rPr>
          <w:rFonts w:ascii="Verdana" w:eastAsia="Calibri" w:hAnsi="Verdana" w:cs="Arial"/>
          <w:sz w:val="24"/>
          <w:szCs w:val="24"/>
        </w:rPr>
        <w:t xml:space="preserve"> to this report. </w:t>
      </w:r>
    </w:p>
    <w:p w14:paraId="3E1979B8" w14:textId="77777777" w:rsidR="00C00B3C" w:rsidRDefault="00C00B3C" w:rsidP="00084FED">
      <w:pPr>
        <w:spacing w:after="0" w:line="240" w:lineRule="auto"/>
        <w:ind w:left="709" w:hanging="709"/>
        <w:jc w:val="both"/>
        <w:rPr>
          <w:rFonts w:ascii="Verdana" w:eastAsia="Calibri" w:hAnsi="Verdana" w:cs="Arial"/>
          <w:sz w:val="24"/>
          <w:szCs w:val="24"/>
        </w:rPr>
      </w:pPr>
    </w:p>
    <w:p w14:paraId="725F5325" w14:textId="77777777" w:rsidR="00084FED" w:rsidRPr="00E47A8D" w:rsidRDefault="0011023E"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2.9</w:t>
      </w:r>
      <w:r w:rsidR="001004C2">
        <w:rPr>
          <w:rFonts w:ascii="Verdana" w:eastAsia="Calibri" w:hAnsi="Verdana" w:cs="Arial"/>
          <w:sz w:val="24"/>
          <w:szCs w:val="24"/>
        </w:rPr>
        <w:tab/>
      </w:r>
      <w:r w:rsidR="002A066F">
        <w:rPr>
          <w:rFonts w:ascii="Verdana" w:eastAsia="Calibri" w:hAnsi="Verdana" w:cs="Arial"/>
          <w:sz w:val="24"/>
          <w:szCs w:val="24"/>
        </w:rPr>
        <w:t xml:space="preserve">In Nov-20 the Trust </w:t>
      </w:r>
      <w:r w:rsidR="00084FED" w:rsidRPr="00E47A8D">
        <w:rPr>
          <w:rFonts w:ascii="Verdana" w:eastAsia="Calibri" w:hAnsi="Verdana" w:cs="Arial"/>
          <w:sz w:val="24"/>
          <w:szCs w:val="24"/>
        </w:rPr>
        <w:t>start</w:t>
      </w:r>
      <w:r w:rsidR="002A066F">
        <w:rPr>
          <w:rFonts w:ascii="Verdana" w:eastAsia="Calibri" w:hAnsi="Verdana" w:cs="Arial"/>
          <w:sz w:val="24"/>
          <w:szCs w:val="24"/>
        </w:rPr>
        <w:t>ed</w:t>
      </w:r>
      <w:r w:rsidR="00084FED" w:rsidRPr="00E47A8D">
        <w:rPr>
          <w:rFonts w:ascii="Verdana" w:eastAsia="Calibri" w:hAnsi="Verdana" w:cs="Arial"/>
          <w:sz w:val="24"/>
          <w:szCs w:val="24"/>
        </w:rPr>
        <w:t xml:space="preserve"> producing monthly </w:t>
      </w:r>
      <w:r w:rsidR="00084FED">
        <w:rPr>
          <w:rFonts w:ascii="Verdana" w:eastAsia="Calibri" w:hAnsi="Verdana" w:cs="Arial"/>
          <w:sz w:val="24"/>
          <w:szCs w:val="24"/>
        </w:rPr>
        <w:t>quality, safety &amp; patient experience (</w:t>
      </w:r>
      <w:r w:rsidR="00084FED" w:rsidRPr="00E47A8D">
        <w:rPr>
          <w:rFonts w:ascii="Verdana" w:eastAsia="Calibri" w:hAnsi="Verdana" w:cs="Arial"/>
          <w:sz w:val="24"/>
          <w:szCs w:val="24"/>
        </w:rPr>
        <w:t>QSPE</w:t>
      </w:r>
      <w:r w:rsidR="00084FED">
        <w:rPr>
          <w:rFonts w:ascii="Verdana" w:eastAsia="Calibri" w:hAnsi="Verdana" w:cs="Arial"/>
          <w:sz w:val="24"/>
          <w:szCs w:val="24"/>
        </w:rPr>
        <w:t>)</w:t>
      </w:r>
      <w:r w:rsidR="00084FED" w:rsidRPr="00E47A8D">
        <w:rPr>
          <w:rFonts w:ascii="Verdana" w:eastAsia="Calibri" w:hAnsi="Verdana" w:cs="Arial"/>
          <w:sz w:val="24"/>
          <w:szCs w:val="24"/>
        </w:rPr>
        <w:t xml:space="preserve"> reports for each health board, detailing ambulance performance and patient safety concerns for each health board’s population, in particular, the impact </w:t>
      </w:r>
      <w:r w:rsidR="00C00B3C">
        <w:rPr>
          <w:rFonts w:ascii="Verdana" w:eastAsia="Calibri" w:hAnsi="Verdana" w:cs="Arial"/>
          <w:sz w:val="24"/>
          <w:szCs w:val="24"/>
        </w:rPr>
        <w:t>of handover lost hours on these.</w:t>
      </w:r>
    </w:p>
    <w:p w14:paraId="490B337D" w14:textId="77777777" w:rsidR="008D2A43" w:rsidRDefault="0011023E" w:rsidP="00C00B3C">
      <w:pPr>
        <w:spacing w:line="240" w:lineRule="auto"/>
        <w:ind w:left="709" w:hanging="709"/>
        <w:jc w:val="both"/>
        <w:rPr>
          <w:rFonts w:ascii="Verdana" w:hAnsi="Verdana" w:cs="Arial"/>
          <w:sz w:val="24"/>
          <w:szCs w:val="24"/>
          <w:lang w:val="en-GB"/>
        </w:rPr>
      </w:pPr>
      <w:r>
        <w:rPr>
          <w:rFonts w:ascii="Verdana" w:hAnsi="Verdana" w:cs="Arial"/>
          <w:sz w:val="24"/>
          <w:szCs w:val="24"/>
        </w:rPr>
        <w:lastRenderedPageBreak/>
        <w:t>2.10</w:t>
      </w:r>
      <w:r w:rsidR="00811987">
        <w:rPr>
          <w:rFonts w:ascii="Verdana" w:hAnsi="Verdana" w:cs="Arial"/>
          <w:sz w:val="24"/>
          <w:szCs w:val="24"/>
        </w:rPr>
        <w:tab/>
      </w:r>
      <w:r w:rsidR="00C00B3C">
        <w:rPr>
          <w:rFonts w:ascii="Verdana" w:hAnsi="Verdana" w:cs="Arial"/>
          <w:sz w:val="24"/>
          <w:szCs w:val="24"/>
        </w:rPr>
        <w:t xml:space="preserve">In extreme </w:t>
      </w:r>
      <w:r w:rsidR="00C00B3C" w:rsidRPr="00C00B3C">
        <w:rPr>
          <w:rFonts w:ascii="Verdana" w:hAnsi="Verdana" w:cs="Arial"/>
          <w:sz w:val="24"/>
          <w:szCs w:val="24"/>
        </w:rPr>
        <w:t>cases, long response times can lead to Serious Adverse Incidents.</w:t>
      </w:r>
      <w:r w:rsidR="00811987" w:rsidRPr="00C00B3C">
        <w:rPr>
          <w:rFonts w:ascii="Verdana" w:hAnsi="Verdana" w:cs="Arial"/>
          <w:sz w:val="24"/>
          <w:szCs w:val="24"/>
          <w:lang w:val="en-GB"/>
        </w:rPr>
        <w:tab/>
      </w:r>
      <w:r w:rsidR="002A066F" w:rsidRPr="00210BD1">
        <w:rPr>
          <w:rFonts w:ascii="Verdana" w:hAnsi="Verdana" w:cs="Arial"/>
          <w:b/>
          <w:sz w:val="24"/>
          <w:szCs w:val="24"/>
          <w:lang w:val="en-GB"/>
        </w:rPr>
        <w:t>In the last 3 months, 42</w:t>
      </w:r>
      <w:r w:rsidR="008D2A43" w:rsidRPr="00210BD1">
        <w:rPr>
          <w:rFonts w:ascii="Verdana" w:hAnsi="Verdana" w:cs="Arial"/>
          <w:b/>
          <w:sz w:val="24"/>
          <w:szCs w:val="24"/>
          <w:lang w:val="en-GB"/>
        </w:rPr>
        <w:t xml:space="preserve"> </w:t>
      </w:r>
      <w:r w:rsidR="00903F3C" w:rsidRPr="00210BD1">
        <w:rPr>
          <w:rFonts w:ascii="Verdana" w:hAnsi="Verdana" w:cs="Arial"/>
          <w:b/>
          <w:sz w:val="24"/>
          <w:szCs w:val="24"/>
          <w:lang w:val="en-GB"/>
        </w:rPr>
        <w:t>patient safety incidents</w:t>
      </w:r>
      <w:r w:rsidR="008D2A43" w:rsidRPr="00210BD1">
        <w:rPr>
          <w:rFonts w:ascii="Verdana" w:hAnsi="Verdana" w:cs="Arial"/>
          <w:b/>
          <w:sz w:val="24"/>
          <w:szCs w:val="24"/>
          <w:lang w:val="en-GB"/>
        </w:rPr>
        <w:t xml:space="preserve"> have been passed to health boards</w:t>
      </w:r>
      <w:r w:rsidR="00C00B3C" w:rsidRPr="00210BD1">
        <w:rPr>
          <w:rFonts w:ascii="Verdana" w:hAnsi="Verdana" w:cs="Arial"/>
          <w:b/>
          <w:sz w:val="24"/>
          <w:szCs w:val="24"/>
          <w:lang w:val="en-GB"/>
        </w:rPr>
        <w:t xml:space="preserve"> as part of th</w:t>
      </w:r>
      <w:r w:rsidR="002A066F" w:rsidRPr="00210BD1">
        <w:rPr>
          <w:rFonts w:ascii="Verdana" w:hAnsi="Verdana" w:cs="Arial"/>
          <w:b/>
          <w:sz w:val="24"/>
          <w:szCs w:val="24"/>
          <w:lang w:val="en-GB"/>
        </w:rPr>
        <w:t>e joint investigation framework</w:t>
      </w:r>
      <w:r w:rsidR="00903F3C" w:rsidRPr="00210BD1">
        <w:rPr>
          <w:rFonts w:ascii="Verdana" w:hAnsi="Verdana" w:cs="Arial"/>
          <w:b/>
          <w:sz w:val="24"/>
          <w:szCs w:val="24"/>
          <w:lang w:val="en-GB"/>
        </w:rPr>
        <w:t xml:space="preserve"> (Appendix B)</w:t>
      </w:r>
      <w:r w:rsidR="002A066F" w:rsidRPr="00210BD1">
        <w:rPr>
          <w:rFonts w:ascii="Verdana" w:hAnsi="Verdana" w:cs="Arial"/>
          <w:b/>
          <w:sz w:val="24"/>
          <w:szCs w:val="24"/>
          <w:lang w:val="en-GB"/>
        </w:rPr>
        <w:t>, compared to zero for the three months: May-21 to Jul-21</w:t>
      </w:r>
      <w:r w:rsidR="002A066F">
        <w:rPr>
          <w:rFonts w:ascii="Verdana" w:hAnsi="Verdana" w:cs="Arial"/>
          <w:sz w:val="24"/>
          <w:szCs w:val="24"/>
          <w:lang w:val="en-GB"/>
        </w:rPr>
        <w:t>.</w:t>
      </w:r>
    </w:p>
    <w:p w14:paraId="4DC314AE" w14:textId="77777777" w:rsidR="00862E1C" w:rsidRPr="00D6368F" w:rsidRDefault="00862E1C" w:rsidP="00862E1C">
      <w:pPr>
        <w:spacing w:line="240" w:lineRule="auto"/>
        <w:ind w:left="709"/>
        <w:jc w:val="both"/>
        <w:rPr>
          <w:rFonts w:ascii="Verdana" w:hAnsi="Verdana" w:cs="Arial"/>
          <w:lang w:val="en-GB"/>
        </w:rPr>
      </w:pPr>
      <w:r>
        <w:rPr>
          <w:noProof/>
          <w:lang w:val="en-GB" w:eastAsia="en-GB"/>
        </w:rPr>
        <w:drawing>
          <wp:inline distT="0" distB="0" distL="0" distR="0" wp14:anchorId="145F9AF0" wp14:editId="32C7AEF2">
            <wp:extent cx="5233958" cy="3306445"/>
            <wp:effectExtent l="0" t="0" r="5080" b="8255"/>
            <wp:docPr id="17" name="Chart 1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FFD41FC" w14:textId="77777777" w:rsidR="008D2A43" w:rsidRDefault="008D2A43" w:rsidP="008D2A43">
      <w:pPr>
        <w:pStyle w:val="ListParagraph"/>
        <w:rPr>
          <w:rFonts w:ascii="Verdana" w:hAnsi="Verdana" w:cs="Arial"/>
          <w:sz w:val="2"/>
          <w:szCs w:val="24"/>
        </w:rPr>
      </w:pPr>
    </w:p>
    <w:p w14:paraId="41D9342B" w14:textId="77777777" w:rsidR="008D2A43" w:rsidRDefault="008D2A43" w:rsidP="008D2A43">
      <w:pPr>
        <w:pStyle w:val="ListParagraph"/>
        <w:rPr>
          <w:rFonts w:ascii="Verdana" w:hAnsi="Verdana" w:cs="Arial"/>
          <w:sz w:val="2"/>
          <w:szCs w:val="24"/>
        </w:rPr>
      </w:pPr>
    </w:p>
    <w:p w14:paraId="44B3245F" w14:textId="6B52A688" w:rsidR="00954274" w:rsidRDefault="0011023E"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2.11</w:t>
      </w:r>
      <w:r w:rsidR="001004C2">
        <w:rPr>
          <w:rFonts w:ascii="Verdana" w:hAnsi="Verdana" w:cs="Arial"/>
          <w:sz w:val="24"/>
          <w:szCs w:val="24"/>
          <w:lang w:val="en-GB"/>
        </w:rPr>
        <w:tab/>
      </w:r>
      <w:r w:rsidR="00C00B3C">
        <w:rPr>
          <w:rFonts w:ascii="Verdana" w:hAnsi="Verdana" w:cs="Arial"/>
          <w:sz w:val="24"/>
          <w:szCs w:val="24"/>
          <w:lang w:val="en-GB"/>
        </w:rPr>
        <w:t>Whilst there are many factors affecting response times, which are described later in this report, one of the factors outside WASTs control is the number of ambulances that have to wait longer than 15 minutes to transfer patients into secondary care at Emergency Departments</w:t>
      </w:r>
      <w:r>
        <w:rPr>
          <w:rFonts w:ascii="Verdana" w:hAnsi="Verdana" w:cs="Arial"/>
          <w:sz w:val="24"/>
          <w:szCs w:val="24"/>
          <w:lang w:val="en-GB"/>
        </w:rPr>
        <w:t xml:space="preserve"> (EDs)</w:t>
      </w:r>
      <w:r w:rsidR="00502758">
        <w:rPr>
          <w:rFonts w:ascii="Verdana" w:hAnsi="Verdana" w:cs="Arial"/>
          <w:sz w:val="24"/>
          <w:szCs w:val="24"/>
          <w:lang w:val="en-GB"/>
        </w:rPr>
        <w:t>. The graph overleaf</w:t>
      </w:r>
      <w:r w:rsidR="00C00B3C">
        <w:rPr>
          <w:rFonts w:ascii="Verdana" w:hAnsi="Verdana" w:cs="Arial"/>
          <w:sz w:val="24"/>
          <w:szCs w:val="24"/>
          <w:lang w:val="en-GB"/>
        </w:rPr>
        <w:t xml:space="preserve"> shows the number of ambulance hours that are lost outside EDs which, if released earlier would have reduced patient waits in the community. As with the other graphs, during the height of the pandemic, the number of lost hours decreased very significantly, but </w:t>
      </w:r>
      <w:r w:rsidR="00903F3C">
        <w:rPr>
          <w:rFonts w:ascii="Verdana" w:hAnsi="Verdana" w:cs="Arial"/>
          <w:sz w:val="24"/>
          <w:szCs w:val="24"/>
          <w:lang w:val="en-GB"/>
        </w:rPr>
        <w:t xml:space="preserve">in quarter three built up </w:t>
      </w:r>
      <w:r w:rsidR="00C00B3C">
        <w:rPr>
          <w:rFonts w:ascii="Verdana" w:hAnsi="Verdana" w:cs="Arial"/>
          <w:sz w:val="24"/>
          <w:szCs w:val="24"/>
          <w:lang w:val="en-GB"/>
        </w:rPr>
        <w:t>again to pre-C</w:t>
      </w:r>
      <w:r w:rsidR="00903F3C">
        <w:rPr>
          <w:rFonts w:ascii="Verdana" w:hAnsi="Verdana" w:cs="Arial"/>
          <w:sz w:val="24"/>
          <w:szCs w:val="24"/>
          <w:lang w:val="en-GB"/>
        </w:rPr>
        <w:t>o</w:t>
      </w:r>
      <w:r w:rsidR="00C00B3C">
        <w:rPr>
          <w:rFonts w:ascii="Verdana" w:hAnsi="Verdana" w:cs="Arial"/>
          <w:sz w:val="24"/>
          <w:szCs w:val="24"/>
          <w:lang w:val="en-GB"/>
        </w:rPr>
        <w:t>VID</w:t>
      </w:r>
      <w:r w:rsidR="00903F3C">
        <w:rPr>
          <w:rFonts w:ascii="Verdana" w:hAnsi="Verdana" w:cs="Arial"/>
          <w:sz w:val="24"/>
          <w:szCs w:val="24"/>
          <w:lang w:val="en-GB"/>
        </w:rPr>
        <w:t>-19</w:t>
      </w:r>
      <w:r w:rsidR="00C00B3C">
        <w:rPr>
          <w:rFonts w:ascii="Verdana" w:hAnsi="Verdana" w:cs="Arial"/>
          <w:sz w:val="24"/>
          <w:szCs w:val="24"/>
          <w:lang w:val="en-GB"/>
        </w:rPr>
        <w:t xml:space="preserve"> levels.</w:t>
      </w:r>
      <w:r w:rsidR="008D2A43" w:rsidRPr="00D6368F">
        <w:rPr>
          <w:rFonts w:ascii="Verdana" w:hAnsi="Verdana" w:cs="Arial"/>
          <w:sz w:val="24"/>
          <w:szCs w:val="24"/>
          <w:lang w:val="en-GB"/>
        </w:rPr>
        <w:t xml:space="preserve"> </w:t>
      </w:r>
      <w:r w:rsidR="00D80416">
        <w:rPr>
          <w:rFonts w:ascii="Verdana" w:hAnsi="Verdana" w:cs="Arial"/>
          <w:sz w:val="24"/>
          <w:szCs w:val="24"/>
          <w:lang w:val="en-GB"/>
        </w:rPr>
        <w:t>It was</w:t>
      </w:r>
      <w:r w:rsidR="00502758">
        <w:rPr>
          <w:rFonts w:ascii="Verdana" w:hAnsi="Verdana" w:cs="Arial"/>
          <w:sz w:val="24"/>
          <w:szCs w:val="24"/>
          <w:lang w:val="en-GB"/>
        </w:rPr>
        <w:t>,</w:t>
      </w:r>
      <w:r w:rsidR="00D80416">
        <w:rPr>
          <w:rFonts w:ascii="Verdana" w:hAnsi="Verdana" w:cs="Arial"/>
          <w:sz w:val="24"/>
          <w:szCs w:val="24"/>
          <w:lang w:val="en-GB"/>
        </w:rPr>
        <w:t xml:space="preserve"> however</w:t>
      </w:r>
      <w:r w:rsidR="00502758">
        <w:rPr>
          <w:rFonts w:ascii="Verdana" w:hAnsi="Verdana" w:cs="Arial"/>
          <w:sz w:val="24"/>
          <w:szCs w:val="24"/>
          <w:lang w:val="en-GB"/>
        </w:rPr>
        <w:t>,</w:t>
      </w:r>
      <w:r w:rsidR="00D80416">
        <w:rPr>
          <w:rFonts w:ascii="Verdana" w:hAnsi="Verdana" w:cs="Arial"/>
          <w:sz w:val="24"/>
          <w:szCs w:val="24"/>
          <w:lang w:val="en-GB"/>
        </w:rPr>
        <w:t xml:space="preserve"> pleasing to see these reduce again in Ja</w:t>
      </w:r>
      <w:r w:rsidR="00502758">
        <w:rPr>
          <w:rFonts w:ascii="Verdana" w:hAnsi="Verdana" w:cs="Arial"/>
          <w:sz w:val="24"/>
          <w:szCs w:val="24"/>
          <w:lang w:val="en-GB"/>
        </w:rPr>
        <w:t>n-</w:t>
      </w:r>
      <w:r w:rsidR="00D80416">
        <w:rPr>
          <w:rFonts w:ascii="Verdana" w:hAnsi="Verdana" w:cs="Arial"/>
          <w:sz w:val="24"/>
          <w:szCs w:val="24"/>
          <w:lang w:val="en-GB"/>
        </w:rPr>
        <w:t>21.</w:t>
      </w:r>
    </w:p>
    <w:p w14:paraId="278726AE" w14:textId="77777777" w:rsidR="008D2A43" w:rsidRPr="00D6368F" w:rsidRDefault="00954274" w:rsidP="00954274">
      <w:pPr>
        <w:spacing w:line="240" w:lineRule="auto"/>
        <w:ind w:left="709"/>
        <w:jc w:val="both"/>
        <w:rPr>
          <w:rFonts w:ascii="Verdana" w:hAnsi="Verdana" w:cs="Arial"/>
          <w:sz w:val="24"/>
          <w:szCs w:val="24"/>
          <w:lang w:val="en-GB"/>
        </w:rPr>
      </w:pPr>
      <w:r>
        <w:rPr>
          <w:noProof/>
          <w:lang w:val="en-GB" w:eastAsia="en-GB"/>
        </w:rPr>
        <w:lastRenderedPageBreak/>
        <w:drawing>
          <wp:inline distT="0" distB="0" distL="0" distR="0" wp14:anchorId="318F57E0" wp14:editId="632AFDAC">
            <wp:extent cx="5400873" cy="2838567"/>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16061" cy="2846549"/>
                    </a:xfrm>
                    <a:prstGeom prst="rect">
                      <a:avLst/>
                    </a:prstGeom>
                  </pic:spPr>
                </pic:pic>
              </a:graphicData>
            </a:graphic>
          </wp:inline>
        </w:drawing>
      </w:r>
      <w:r w:rsidR="008D2A43" w:rsidRPr="00D6368F">
        <w:rPr>
          <w:rFonts w:ascii="Verdana" w:hAnsi="Verdana" w:cs="Arial"/>
          <w:sz w:val="24"/>
          <w:szCs w:val="24"/>
          <w:lang w:val="en-GB"/>
        </w:rPr>
        <w:t xml:space="preserve"> </w:t>
      </w:r>
    </w:p>
    <w:p w14:paraId="06E3B6B5" w14:textId="59900E8D" w:rsidR="00A66377" w:rsidRDefault="0011023E" w:rsidP="004C6BE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2.12</w:t>
      </w:r>
      <w:r w:rsidR="00954274">
        <w:rPr>
          <w:rFonts w:ascii="Verdana" w:eastAsia="Calibri" w:hAnsi="Verdana" w:cs="Arial"/>
          <w:sz w:val="24"/>
          <w:szCs w:val="24"/>
        </w:rPr>
        <w:tab/>
      </w:r>
      <w:r w:rsidR="00954274" w:rsidRPr="00210BD1">
        <w:rPr>
          <w:rFonts w:ascii="Verdana" w:eastAsia="Calibri" w:hAnsi="Verdana" w:cs="Arial"/>
          <w:b/>
          <w:sz w:val="24"/>
          <w:szCs w:val="24"/>
        </w:rPr>
        <w:t>8,416 hours were lost to handover in Jan-21, compared to 11,708 in De</w:t>
      </w:r>
      <w:r w:rsidR="00903F3C" w:rsidRPr="00210BD1">
        <w:rPr>
          <w:rFonts w:ascii="Verdana" w:eastAsia="Calibri" w:hAnsi="Verdana" w:cs="Arial"/>
          <w:b/>
          <w:sz w:val="24"/>
          <w:szCs w:val="24"/>
        </w:rPr>
        <w:t>c-20</w:t>
      </w:r>
      <w:r w:rsidR="00954274" w:rsidRPr="00210BD1">
        <w:rPr>
          <w:rFonts w:ascii="Verdana" w:eastAsia="Calibri" w:hAnsi="Verdana" w:cs="Arial"/>
          <w:b/>
          <w:sz w:val="24"/>
          <w:szCs w:val="24"/>
        </w:rPr>
        <w:t xml:space="preserve"> and 1,900 in May-20</w:t>
      </w:r>
      <w:r w:rsidR="00954274" w:rsidRPr="00954274">
        <w:rPr>
          <w:rFonts w:ascii="Verdana" w:eastAsia="Calibri" w:hAnsi="Verdana" w:cs="Arial"/>
          <w:sz w:val="24"/>
          <w:szCs w:val="24"/>
        </w:rPr>
        <w:t>. The draft 2021/22 EMS commissioning intentions include: “</w:t>
      </w:r>
      <w:r w:rsidR="00954274" w:rsidRPr="00954274">
        <w:rPr>
          <w:rFonts w:ascii="Verdana" w:hAnsi="Verdana"/>
          <w:sz w:val="24"/>
          <w:szCs w:val="24"/>
        </w:rPr>
        <w:t xml:space="preserve">NHS Wales is a significant outlier in the UK and </w:t>
      </w:r>
      <w:r w:rsidR="0049517E">
        <w:rPr>
          <w:rFonts w:ascii="Verdana" w:hAnsi="Verdana"/>
          <w:sz w:val="24"/>
          <w:szCs w:val="24"/>
        </w:rPr>
        <w:t>i</w:t>
      </w:r>
      <w:r w:rsidR="00954274" w:rsidRPr="00954274">
        <w:rPr>
          <w:rFonts w:ascii="Verdana" w:hAnsi="Verdana"/>
          <w:sz w:val="24"/>
          <w:szCs w:val="24"/>
        </w:rPr>
        <w:t xml:space="preserve">nternationally for lost productivity due to extended notification to handover times. By the end of 2021/22 NHS Wales will have reduced 1 hour waits to less than 5% of total arrivals and ensured that total lost hours at Welsh </w:t>
      </w:r>
      <w:r w:rsidR="0049517E">
        <w:rPr>
          <w:rFonts w:ascii="Verdana" w:hAnsi="Verdana"/>
          <w:sz w:val="24"/>
          <w:szCs w:val="24"/>
        </w:rPr>
        <w:t>h</w:t>
      </w:r>
      <w:r w:rsidR="00954274" w:rsidRPr="00954274">
        <w:rPr>
          <w:rFonts w:ascii="Verdana" w:hAnsi="Verdana"/>
          <w:sz w:val="24"/>
          <w:szCs w:val="24"/>
        </w:rPr>
        <w:t xml:space="preserve">ospitals do not exceed 150 hours per day on 95% of the year”. </w:t>
      </w:r>
      <w:r w:rsidR="00954274" w:rsidRPr="00954274">
        <w:rPr>
          <w:rFonts w:ascii="Verdana" w:eastAsia="Calibri" w:hAnsi="Verdana" w:cs="Arial"/>
          <w:sz w:val="24"/>
          <w:szCs w:val="24"/>
        </w:rPr>
        <w:t xml:space="preserve"> </w:t>
      </w:r>
      <w:r w:rsidR="00954274">
        <w:rPr>
          <w:rFonts w:ascii="Verdana" w:eastAsia="Calibri" w:hAnsi="Verdana" w:cs="Arial"/>
          <w:sz w:val="24"/>
          <w:szCs w:val="24"/>
        </w:rPr>
        <w:t xml:space="preserve">Application of this commissioning intention would mean c.5,000 hours per month lost. </w:t>
      </w:r>
      <w:r w:rsidR="00903F3C">
        <w:rPr>
          <w:rFonts w:ascii="Verdana" w:eastAsia="Calibri" w:hAnsi="Verdana" w:cs="Arial"/>
          <w:sz w:val="24"/>
          <w:szCs w:val="24"/>
        </w:rPr>
        <w:t>Through the Chief Operati</w:t>
      </w:r>
      <w:r w:rsidR="0049517E">
        <w:rPr>
          <w:rFonts w:ascii="Verdana" w:eastAsia="Calibri" w:hAnsi="Verdana" w:cs="Arial"/>
          <w:sz w:val="24"/>
          <w:szCs w:val="24"/>
        </w:rPr>
        <w:t>ng</w:t>
      </w:r>
      <w:r w:rsidR="00903F3C">
        <w:rPr>
          <w:rFonts w:ascii="Verdana" w:eastAsia="Calibri" w:hAnsi="Verdana" w:cs="Arial"/>
          <w:sz w:val="24"/>
          <w:szCs w:val="24"/>
        </w:rPr>
        <w:t xml:space="preserve"> Officer</w:t>
      </w:r>
      <w:r>
        <w:rPr>
          <w:rFonts w:ascii="Verdana" w:eastAsia="Calibri" w:hAnsi="Verdana" w:cs="Arial"/>
          <w:sz w:val="24"/>
          <w:szCs w:val="24"/>
        </w:rPr>
        <w:t>s (COOs) Group there has been a recent</w:t>
      </w:r>
      <w:r w:rsidR="00903F3C">
        <w:rPr>
          <w:rFonts w:ascii="Verdana" w:eastAsia="Calibri" w:hAnsi="Verdana" w:cs="Arial"/>
          <w:sz w:val="24"/>
          <w:szCs w:val="24"/>
        </w:rPr>
        <w:t xml:space="preserve"> improvement in </w:t>
      </w:r>
      <w:r w:rsidR="00AF41B9">
        <w:rPr>
          <w:rFonts w:ascii="Verdana" w:eastAsia="Calibri" w:hAnsi="Verdana" w:cs="Arial"/>
          <w:sz w:val="24"/>
          <w:szCs w:val="24"/>
        </w:rPr>
        <w:t>the application of the immediate release procedure for Red calls.</w:t>
      </w:r>
    </w:p>
    <w:p w14:paraId="68E4FAE5" w14:textId="77777777" w:rsidR="004C6BE2" w:rsidRPr="00954274" w:rsidRDefault="004C6BE2" w:rsidP="004C6BE2">
      <w:pPr>
        <w:spacing w:after="0" w:line="240" w:lineRule="auto"/>
        <w:ind w:left="709" w:hanging="709"/>
        <w:jc w:val="both"/>
        <w:rPr>
          <w:rFonts w:ascii="Verdana" w:hAnsi="Verdana" w:cs="Arial"/>
          <w:bCs/>
          <w:sz w:val="24"/>
          <w:szCs w:val="24"/>
        </w:rPr>
      </w:pPr>
    </w:p>
    <w:p w14:paraId="337A056C" w14:textId="5FDC174C" w:rsidR="00862E1C" w:rsidRDefault="0011023E" w:rsidP="004C6BE2">
      <w:pPr>
        <w:spacing w:after="0" w:line="240" w:lineRule="auto"/>
        <w:ind w:left="709" w:hanging="709"/>
        <w:jc w:val="both"/>
        <w:rPr>
          <w:rFonts w:ascii="Verdana" w:hAnsi="Verdana" w:cs="Arial"/>
          <w:bCs/>
          <w:sz w:val="24"/>
        </w:rPr>
      </w:pPr>
      <w:r>
        <w:rPr>
          <w:rFonts w:ascii="Verdana" w:hAnsi="Verdana" w:cs="Arial"/>
          <w:bCs/>
          <w:sz w:val="24"/>
        </w:rPr>
        <w:t>2.13</w:t>
      </w:r>
      <w:r>
        <w:rPr>
          <w:rFonts w:ascii="Verdana" w:hAnsi="Verdana" w:cs="Arial"/>
          <w:bCs/>
          <w:sz w:val="24"/>
        </w:rPr>
        <w:tab/>
      </w:r>
      <w:r w:rsidR="004C6BE2" w:rsidRPr="00210BD1">
        <w:rPr>
          <w:rFonts w:ascii="Verdana" w:hAnsi="Verdana" w:cs="Arial"/>
          <w:b/>
          <w:bCs/>
          <w:sz w:val="24"/>
        </w:rPr>
        <w:t xml:space="preserve">In the last three months WAST has reported </w:t>
      </w:r>
      <w:r w:rsidR="00862E1C" w:rsidRPr="00210BD1">
        <w:rPr>
          <w:rFonts w:ascii="Verdana" w:hAnsi="Verdana" w:cs="Arial"/>
          <w:b/>
          <w:bCs/>
          <w:sz w:val="24"/>
        </w:rPr>
        <w:t>23 SAIs</w:t>
      </w:r>
      <w:r w:rsidR="00862E1C">
        <w:rPr>
          <w:rFonts w:ascii="Verdana" w:hAnsi="Verdana" w:cs="Arial"/>
          <w:bCs/>
          <w:sz w:val="24"/>
        </w:rPr>
        <w:t xml:space="preserve"> to W</w:t>
      </w:r>
      <w:r w:rsidR="004C6BE2">
        <w:rPr>
          <w:rFonts w:ascii="Verdana" w:hAnsi="Verdana" w:cs="Arial"/>
          <w:bCs/>
          <w:sz w:val="24"/>
        </w:rPr>
        <w:t>elsh Government and continue</w:t>
      </w:r>
      <w:r w:rsidR="00853351">
        <w:rPr>
          <w:rFonts w:ascii="Verdana" w:hAnsi="Verdana" w:cs="Arial"/>
          <w:bCs/>
          <w:sz w:val="24"/>
        </w:rPr>
        <w:t>s</w:t>
      </w:r>
      <w:r w:rsidR="004C6BE2">
        <w:rPr>
          <w:rFonts w:ascii="Verdana" w:hAnsi="Verdana" w:cs="Arial"/>
          <w:bCs/>
          <w:sz w:val="24"/>
        </w:rPr>
        <w:t xml:space="preserve"> to have regular dialogue with EASC through the NCCU</w:t>
      </w:r>
      <w:r w:rsidR="00862E1C">
        <w:rPr>
          <w:rFonts w:ascii="Verdana" w:hAnsi="Verdana" w:cs="Arial"/>
          <w:bCs/>
          <w:sz w:val="24"/>
        </w:rPr>
        <w:t>.</w:t>
      </w:r>
    </w:p>
    <w:p w14:paraId="6B2EDF17" w14:textId="77777777" w:rsidR="004C6BE2" w:rsidRDefault="004C6BE2" w:rsidP="00A97B5E">
      <w:pPr>
        <w:spacing w:after="0" w:line="240" w:lineRule="auto"/>
        <w:ind w:left="709"/>
        <w:jc w:val="both"/>
        <w:rPr>
          <w:rFonts w:ascii="Verdana" w:eastAsia="Calibri" w:hAnsi="Verdana" w:cs="Arial"/>
          <w:sz w:val="24"/>
          <w:szCs w:val="24"/>
          <w:u w:val="single"/>
        </w:rPr>
      </w:pPr>
    </w:p>
    <w:p w14:paraId="003173EA" w14:textId="77777777" w:rsidR="00076E9C" w:rsidRPr="00A66377" w:rsidRDefault="00076E9C" w:rsidP="00A97B5E">
      <w:pPr>
        <w:spacing w:after="0" w:line="240" w:lineRule="auto"/>
        <w:ind w:left="709"/>
        <w:jc w:val="both"/>
        <w:rPr>
          <w:rFonts w:ascii="Verdana" w:eastAsia="Calibri" w:hAnsi="Verdana" w:cs="Arial"/>
          <w:sz w:val="24"/>
          <w:szCs w:val="24"/>
          <w:u w:val="single"/>
        </w:rPr>
      </w:pPr>
      <w:r w:rsidRPr="00A66377">
        <w:rPr>
          <w:rFonts w:ascii="Verdana" w:eastAsia="Calibri" w:hAnsi="Verdana" w:cs="Arial"/>
          <w:sz w:val="24"/>
          <w:szCs w:val="24"/>
          <w:u w:val="single"/>
        </w:rPr>
        <w:t>Health &amp; Safety</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082DB0FD" w14:textId="77777777" w:rsidR="0049517E" w:rsidRDefault="0011023E" w:rsidP="00AF41B9">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rPr>
        <w:t>2.14</w:t>
      </w:r>
      <w:r w:rsidR="001004C2">
        <w:rPr>
          <w:rFonts w:ascii="Verdana" w:eastAsia="Calibri" w:hAnsi="Verdana" w:cs="Arial"/>
          <w:sz w:val="24"/>
          <w:szCs w:val="24"/>
        </w:rPr>
        <w:tab/>
      </w:r>
      <w:r w:rsidR="00862E1C">
        <w:rPr>
          <w:rFonts w:ascii="Verdana" w:eastAsia="Calibri" w:hAnsi="Verdana" w:cs="Arial"/>
          <w:sz w:val="24"/>
          <w:szCs w:val="24"/>
        </w:rPr>
        <w:t xml:space="preserve">There have been </w:t>
      </w:r>
      <w:r w:rsidR="000254B1" w:rsidRPr="000735C9">
        <w:rPr>
          <w:rFonts w:ascii="Verdana" w:eastAsia="Calibri" w:hAnsi="Verdana" w:cs="Arial"/>
          <w:sz w:val="24"/>
          <w:szCs w:val="24"/>
          <w:lang w:val="en-GB"/>
        </w:rPr>
        <w:t xml:space="preserve">725 reported staff </w:t>
      </w:r>
      <w:r w:rsidR="00862E1C">
        <w:rPr>
          <w:rFonts w:ascii="Verdana" w:eastAsia="Calibri" w:hAnsi="Verdana" w:cs="Arial"/>
          <w:sz w:val="24"/>
          <w:szCs w:val="24"/>
          <w:lang w:val="en-GB"/>
        </w:rPr>
        <w:t xml:space="preserve">positive </w:t>
      </w:r>
      <w:r w:rsidR="000254B1" w:rsidRPr="000735C9">
        <w:rPr>
          <w:rFonts w:ascii="Verdana" w:eastAsia="Calibri" w:hAnsi="Verdana" w:cs="Arial"/>
          <w:sz w:val="24"/>
          <w:szCs w:val="24"/>
          <w:lang w:val="en-GB"/>
        </w:rPr>
        <w:t>C</w:t>
      </w:r>
      <w:r w:rsidR="00862E1C">
        <w:rPr>
          <w:rFonts w:ascii="Verdana" w:eastAsia="Calibri" w:hAnsi="Verdana" w:cs="Arial"/>
          <w:sz w:val="24"/>
          <w:szCs w:val="24"/>
          <w:lang w:val="en-GB"/>
        </w:rPr>
        <w:t>o</w:t>
      </w:r>
      <w:r w:rsidR="000254B1" w:rsidRPr="000735C9">
        <w:rPr>
          <w:rFonts w:ascii="Verdana" w:eastAsia="Calibri" w:hAnsi="Verdana" w:cs="Arial"/>
          <w:sz w:val="24"/>
          <w:szCs w:val="24"/>
          <w:lang w:val="en-GB"/>
        </w:rPr>
        <w:t>VID</w:t>
      </w:r>
      <w:r w:rsidR="00862E1C">
        <w:rPr>
          <w:rFonts w:ascii="Verdana" w:eastAsia="Calibri" w:hAnsi="Verdana" w:cs="Arial"/>
          <w:sz w:val="24"/>
          <w:szCs w:val="24"/>
          <w:lang w:val="en-GB"/>
        </w:rPr>
        <w:t>-</w:t>
      </w:r>
      <w:r w:rsidR="000254B1" w:rsidRPr="000735C9">
        <w:rPr>
          <w:rFonts w:ascii="Verdana" w:eastAsia="Calibri" w:hAnsi="Verdana" w:cs="Arial"/>
          <w:sz w:val="24"/>
          <w:szCs w:val="24"/>
          <w:lang w:val="en-GB"/>
        </w:rPr>
        <w:t xml:space="preserve">19 </w:t>
      </w:r>
      <w:r>
        <w:rPr>
          <w:rFonts w:ascii="Verdana" w:eastAsia="Calibri" w:hAnsi="Verdana" w:cs="Arial"/>
          <w:sz w:val="24"/>
          <w:szCs w:val="24"/>
          <w:lang w:val="en-GB"/>
        </w:rPr>
        <w:t>since the start of the pandemic (</w:t>
      </w:r>
      <w:r w:rsidR="00862E1C">
        <w:rPr>
          <w:rFonts w:ascii="Verdana" w:eastAsia="Calibri" w:hAnsi="Verdana" w:cs="Arial"/>
          <w:sz w:val="24"/>
          <w:szCs w:val="24"/>
          <w:lang w:val="en-GB"/>
        </w:rPr>
        <w:t>Mar-</w:t>
      </w:r>
      <w:r w:rsidR="000254B1" w:rsidRPr="000735C9">
        <w:rPr>
          <w:rFonts w:ascii="Verdana" w:eastAsia="Calibri" w:hAnsi="Verdana" w:cs="Arial"/>
          <w:sz w:val="24"/>
          <w:szCs w:val="24"/>
          <w:lang w:val="en-GB"/>
        </w:rPr>
        <w:t>20</w:t>
      </w:r>
      <w:r w:rsidR="00862E1C">
        <w:rPr>
          <w:rFonts w:ascii="Verdana" w:eastAsia="Calibri" w:hAnsi="Verdana" w:cs="Arial"/>
          <w:sz w:val="24"/>
          <w:szCs w:val="24"/>
          <w:lang w:val="en-GB"/>
        </w:rPr>
        <w:t xml:space="preserve"> to </w:t>
      </w:r>
      <w:r w:rsidR="000254B1" w:rsidRPr="000735C9">
        <w:rPr>
          <w:rFonts w:ascii="Verdana" w:eastAsia="Calibri" w:hAnsi="Verdana" w:cs="Arial"/>
          <w:sz w:val="24"/>
          <w:szCs w:val="24"/>
          <w:lang w:val="en-GB"/>
        </w:rPr>
        <w:t>Feb</w:t>
      </w:r>
      <w:r w:rsidR="00862E1C">
        <w:rPr>
          <w:rFonts w:ascii="Verdana" w:eastAsia="Calibri" w:hAnsi="Verdana" w:cs="Arial"/>
          <w:sz w:val="24"/>
          <w:szCs w:val="24"/>
          <w:lang w:val="en-GB"/>
        </w:rPr>
        <w:t>-</w:t>
      </w:r>
      <w:r w:rsidR="000254B1" w:rsidRPr="000735C9">
        <w:rPr>
          <w:rFonts w:ascii="Verdana" w:eastAsia="Calibri" w:hAnsi="Verdana" w:cs="Arial"/>
          <w:sz w:val="24"/>
          <w:szCs w:val="24"/>
          <w:lang w:val="en-GB"/>
        </w:rPr>
        <w:t xml:space="preserve">21). </w:t>
      </w:r>
      <w:r w:rsidR="00862E1C" w:rsidRPr="00210BD1">
        <w:rPr>
          <w:rFonts w:ascii="Verdana" w:eastAsia="Calibri" w:hAnsi="Verdana" w:cs="Arial"/>
          <w:b/>
          <w:sz w:val="24"/>
          <w:szCs w:val="24"/>
          <w:lang w:val="en-GB"/>
        </w:rPr>
        <w:t>There have been four staff fatalities to date</w:t>
      </w:r>
      <w:r w:rsidR="00862E1C">
        <w:rPr>
          <w:rFonts w:ascii="Verdana" w:eastAsia="Calibri" w:hAnsi="Verdana" w:cs="Arial"/>
          <w:sz w:val="24"/>
          <w:szCs w:val="24"/>
          <w:lang w:val="en-GB"/>
        </w:rPr>
        <w:t xml:space="preserve">. </w:t>
      </w:r>
      <w:r w:rsidR="000254B1" w:rsidRPr="000735C9">
        <w:rPr>
          <w:rFonts w:ascii="Verdana" w:eastAsia="Calibri" w:hAnsi="Verdana" w:cs="Arial"/>
          <w:sz w:val="24"/>
          <w:szCs w:val="24"/>
          <w:lang w:val="en-GB"/>
        </w:rPr>
        <w:t>Performance indicators measuring progress of investigations and RIDDORs submitted to the H</w:t>
      </w:r>
      <w:r w:rsidR="00862E1C">
        <w:rPr>
          <w:rFonts w:ascii="Verdana" w:eastAsia="Calibri" w:hAnsi="Verdana" w:cs="Arial"/>
          <w:sz w:val="24"/>
          <w:szCs w:val="24"/>
          <w:lang w:val="en-GB"/>
        </w:rPr>
        <w:t>ealth &amp; Safety Executive</w:t>
      </w:r>
      <w:r w:rsidR="00386E88">
        <w:rPr>
          <w:rFonts w:ascii="Verdana" w:eastAsia="Calibri" w:hAnsi="Verdana" w:cs="Arial"/>
          <w:sz w:val="24"/>
          <w:szCs w:val="24"/>
          <w:lang w:val="en-GB"/>
        </w:rPr>
        <w:t xml:space="preserve"> (HSE)</w:t>
      </w:r>
      <w:r w:rsidR="00862E1C">
        <w:rPr>
          <w:rFonts w:ascii="Verdana" w:eastAsia="Calibri" w:hAnsi="Verdana" w:cs="Arial"/>
          <w:sz w:val="24"/>
          <w:szCs w:val="24"/>
          <w:lang w:val="en-GB"/>
        </w:rPr>
        <w:t xml:space="preserve"> </w:t>
      </w:r>
      <w:r w:rsidR="000254B1" w:rsidRPr="000735C9">
        <w:rPr>
          <w:rFonts w:ascii="Verdana" w:eastAsia="Calibri" w:hAnsi="Verdana" w:cs="Arial"/>
          <w:sz w:val="24"/>
          <w:szCs w:val="24"/>
          <w:lang w:val="en-GB"/>
        </w:rPr>
        <w:t>are presented monthly at Senior Pandemic Team meetings.</w:t>
      </w:r>
      <w:r w:rsidR="00AF41B9">
        <w:rPr>
          <w:rFonts w:ascii="Verdana" w:eastAsia="Calibri" w:hAnsi="Verdana" w:cs="Arial"/>
          <w:sz w:val="24"/>
          <w:szCs w:val="24"/>
          <w:lang w:val="en-GB"/>
        </w:rPr>
        <w:t xml:space="preserve">  </w:t>
      </w:r>
      <w:r w:rsidR="00386E88">
        <w:rPr>
          <w:rFonts w:ascii="Verdana" w:eastAsia="Calibri" w:hAnsi="Verdana" w:cs="Arial"/>
          <w:sz w:val="24"/>
          <w:szCs w:val="24"/>
          <w:lang w:val="en-GB"/>
        </w:rPr>
        <w:t>A RIDDOR was</w:t>
      </w:r>
      <w:r w:rsidR="000254B1" w:rsidRPr="000735C9">
        <w:rPr>
          <w:rFonts w:ascii="Verdana" w:eastAsia="Calibri" w:hAnsi="Verdana" w:cs="Arial"/>
          <w:sz w:val="24"/>
          <w:szCs w:val="24"/>
          <w:lang w:val="en-GB"/>
        </w:rPr>
        <w:t xml:space="preserve"> submitted to</w:t>
      </w:r>
      <w:r w:rsidR="00386E88">
        <w:rPr>
          <w:rFonts w:ascii="Verdana" w:eastAsia="Calibri" w:hAnsi="Verdana" w:cs="Arial"/>
          <w:sz w:val="24"/>
          <w:szCs w:val="24"/>
          <w:lang w:val="en-GB"/>
        </w:rPr>
        <w:t xml:space="preserve"> the HSE (</w:t>
      </w:r>
      <w:r w:rsidR="000254B1" w:rsidRPr="000735C9">
        <w:rPr>
          <w:rFonts w:ascii="Verdana" w:eastAsia="Calibri" w:hAnsi="Verdana" w:cs="Arial"/>
          <w:sz w:val="24"/>
          <w:szCs w:val="24"/>
          <w:lang w:val="en-GB"/>
        </w:rPr>
        <w:t>27 Jan</w:t>
      </w:r>
      <w:r w:rsidR="00386E88">
        <w:rPr>
          <w:rFonts w:ascii="Verdana" w:eastAsia="Calibri" w:hAnsi="Verdana" w:cs="Arial"/>
          <w:sz w:val="24"/>
          <w:szCs w:val="24"/>
          <w:lang w:val="en-GB"/>
        </w:rPr>
        <w:t>-</w:t>
      </w:r>
      <w:r w:rsidR="000254B1" w:rsidRPr="000735C9">
        <w:rPr>
          <w:rFonts w:ascii="Verdana" w:eastAsia="Calibri" w:hAnsi="Verdana" w:cs="Arial"/>
          <w:sz w:val="24"/>
          <w:szCs w:val="24"/>
          <w:lang w:val="en-GB"/>
        </w:rPr>
        <w:t>21</w:t>
      </w:r>
      <w:r w:rsidR="00386E88">
        <w:rPr>
          <w:rFonts w:ascii="Verdana" w:eastAsia="Calibri" w:hAnsi="Verdana" w:cs="Arial"/>
          <w:sz w:val="24"/>
          <w:szCs w:val="24"/>
          <w:lang w:val="en-GB"/>
        </w:rPr>
        <w:t>)</w:t>
      </w:r>
      <w:r w:rsidR="000254B1" w:rsidRPr="000735C9">
        <w:rPr>
          <w:rFonts w:ascii="Verdana" w:eastAsia="Calibri" w:hAnsi="Verdana" w:cs="Arial"/>
          <w:sz w:val="24"/>
          <w:szCs w:val="24"/>
          <w:lang w:val="en-GB"/>
        </w:rPr>
        <w:t xml:space="preserve">, in relation to a staff fatality at </w:t>
      </w:r>
      <w:r w:rsidR="00AF41B9">
        <w:rPr>
          <w:rFonts w:ascii="Verdana" w:eastAsia="Calibri" w:hAnsi="Verdana" w:cs="Arial"/>
          <w:sz w:val="24"/>
          <w:szCs w:val="24"/>
          <w:lang w:val="en-GB"/>
        </w:rPr>
        <w:t>Vantage Point House (</w:t>
      </w:r>
      <w:r w:rsidR="000254B1" w:rsidRPr="000735C9">
        <w:rPr>
          <w:rFonts w:ascii="Verdana" w:eastAsia="Calibri" w:hAnsi="Verdana" w:cs="Arial"/>
          <w:sz w:val="24"/>
          <w:szCs w:val="24"/>
          <w:lang w:val="en-GB"/>
        </w:rPr>
        <w:t>VPH</w:t>
      </w:r>
      <w:r w:rsidR="00AF41B9">
        <w:rPr>
          <w:rFonts w:ascii="Verdana" w:eastAsia="Calibri" w:hAnsi="Verdana" w:cs="Arial"/>
          <w:sz w:val="24"/>
          <w:szCs w:val="24"/>
          <w:lang w:val="en-GB"/>
        </w:rPr>
        <w:t xml:space="preserve">) </w:t>
      </w:r>
      <w:r w:rsidR="000254B1" w:rsidRPr="000735C9">
        <w:rPr>
          <w:rFonts w:ascii="Verdana" w:eastAsia="Calibri" w:hAnsi="Verdana" w:cs="Arial"/>
          <w:sz w:val="24"/>
          <w:szCs w:val="24"/>
          <w:lang w:val="en-GB"/>
        </w:rPr>
        <w:t>to a NEPTS Call Handler</w:t>
      </w:r>
      <w:r w:rsidR="00386E88">
        <w:rPr>
          <w:rFonts w:ascii="Verdana" w:eastAsia="Calibri" w:hAnsi="Verdana" w:cs="Arial"/>
          <w:sz w:val="24"/>
          <w:szCs w:val="24"/>
          <w:lang w:val="en-GB"/>
        </w:rPr>
        <w:t>; h</w:t>
      </w:r>
      <w:r w:rsidR="000254B1" w:rsidRPr="000735C9">
        <w:rPr>
          <w:rFonts w:ascii="Verdana" w:eastAsia="Calibri" w:hAnsi="Verdana" w:cs="Arial"/>
          <w:sz w:val="24"/>
          <w:szCs w:val="24"/>
          <w:lang w:val="en-GB"/>
        </w:rPr>
        <w:t>owever, as the  building is leased and does not operate a response service the investigating has been passed to Torfaen Local Authority.</w:t>
      </w:r>
      <w:r w:rsidR="004C6BE2">
        <w:rPr>
          <w:rFonts w:ascii="Verdana" w:eastAsia="Calibri" w:hAnsi="Verdana" w:cs="Arial"/>
          <w:sz w:val="24"/>
          <w:szCs w:val="24"/>
          <w:lang w:val="en-GB"/>
        </w:rPr>
        <w:t xml:space="preserve"> </w:t>
      </w:r>
    </w:p>
    <w:p w14:paraId="071B336F" w14:textId="066AE36C" w:rsidR="000254B1" w:rsidRDefault="0049517E" w:rsidP="00AF41B9">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lastRenderedPageBreak/>
        <w:tab/>
      </w:r>
      <w:r w:rsidR="000254B1" w:rsidRPr="000735C9">
        <w:rPr>
          <w:rFonts w:ascii="Verdana" w:eastAsia="Calibri" w:hAnsi="Verdana" w:cs="Arial"/>
          <w:sz w:val="24"/>
          <w:szCs w:val="24"/>
          <w:lang w:val="en-GB"/>
        </w:rPr>
        <w:t xml:space="preserve">Local Authority Environment Officers undertook a site visit on </w:t>
      </w:r>
      <w:r w:rsidR="0011023E">
        <w:rPr>
          <w:rFonts w:ascii="Verdana" w:eastAsia="Calibri" w:hAnsi="Verdana" w:cs="Arial"/>
          <w:sz w:val="24"/>
          <w:szCs w:val="24"/>
          <w:lang w:val="en-GB"/>
        </w:rPr>
        <w:t>0</w:t>
      </w:r>
      <w:r w:rsidR="000254B1" w:rsidRPr="000735C9">
        <w:rPr>
          <w:rFonts w:ascii="Verdana" w:eastAsia="Calibri" w:hAnsi="Verdana" w:cs="Arial"/>
          <w:sz w:val="24"/>
          <w:szCs w:val="24"/>
          <w:lang w:val="en-GB"/>
        </w:rPr>
        <w:t>4 Feb</w:t>
      </w:r>
      <w:r w:rsidR="0011023E">
        <w:rPr>
          <w:rFonts w:ascii="Verdana" w:eastAsia="Calibri" w:hAnsi="Verdana" w:cs="Arial"/>
          <w:sz w:val="24"/>
          <w:szCs w:val="24"/>
          <w:lang w:val="en-GB"/>
        </w:rPr>
        <w:t>-</w:t>
      </w:r>
      <w:r w:rsidR="000254B1" w:rsidRPr="000735C9">
        <w:rPr>
          <w:rFonts w:ascii="Verdana" w:eastAsia="Calibri" w:hAnsi="Verdana" w:cs="Arial"/>
          <w:sz w:val="24"/>
          <w:szCs w:val="24"/>
          <w:lang w:val="en-GB"/>
        </w:rPr>
        <w:t>21 and were escorted by Interim Head of H</w:t>
      </w:r>
      <w:r w:rsidR="00AF41B9">
        <w:rPr>
          <w:rFonts w:ascii="Verdana" w:eastAsia="Calibri" w:hAnsi="Verdana" w:cs="Arial"/>
          <w:sz w:val="24"/>
          <w:szCs w:val="24"/>
          <w:lang w:val="en-GB"/>
        </w:rPr>
        <w:t xml:space="preserve">ealth </w:t>
      </w:r>
      <w:r w:rsidR="000254B1" w:rsidRPr="000735C9">
        <w:rPr>
          <w:rFonts w:ascii="Verdana" w:eastAsia="Calibri" w:hAnsi="Verdana" w:cs="Arial"/>
          <w:sz w:val="24"/>
          <w:szCs w:val="24"/>
          <w:lang w:val="en-GB"/>
        </w:rPr>
        <w:t>&amp;</w:t>
      </w:r>
      <w:r w:rsidR="00AF41B9">
        <w:rPr>
          <w:rFonts w:ascii="Verdana" w:eastAsia="Calibri" w:hAnsi="Verdana" w:cs="Arial"/>
          <w:sz w:val="24"/>
          <w:szCs w:val="24"/>
          <w:lang w:val="en-GB"/>
        </w:rPr>
        <w:t xml:space="preserve"> </w:t>
      </w:r>
      <w:r w:rsidR="000254B1" w:rsidRPr="000735C9">
        <w:rPr>
          <w:rFonts w:ascii="Verdana" w:eastAsia="Calibri" w:hAnsi="Verdana" w:cs="Arial"/>
          <w:sz w:val="24"/>
          <w:szCs w:val="24"/>
          <w:lang w:val="en-GB"/>
        </w:rPr>
        <w:t>S</w:t>
      </w:r>
      <w:r w:rsidR="00AF41B9">
        <w:rPr>
          <w:rFonts w:ascii="Verdana" w:eastAsia="Calibri" w:hAnsi="Verdana" w:cs="Arial"/>
          <w:sz w:val="24"/>
          <w:szCs w:val="24"/>
          <w:lang w:val="en-GB"/>
        </w:rPr>
        <w:t>afety</w:t>
      </w:r>
      <w:r w:rsidR="000254B1" w:rsidRPr="000735C9">
        <w:rPr>
          <w:rFonts w:ascii="Verdana" w:eastAsia="Calibri" w:hAnsi="Verdana" w:cs="Arial"/>
          <w:sz w:val="24"/>
          <w:szCs w:val="24"/>
          <w:lang w:val="en-GB"/>
        </w:rPr>
        <w:t>, NEPTS Business Manager and CCC Manager.</w:t>
      </w:r>
      <w:r w:rsidR="004C6BE2">
        <w:rPr>
          <w:rFonts w:ascii="Verdana" w:eastAsia="Calibri" w:hAnsi="Verdana" w:cs="Arial"/>
          <w:sz w:val="24"/>
          <w:szCs w:val="24"/>
          <w:lang w:val="en-GB"/>
        </w:rPr>
        <w:t xml:space="preserve"> </w:t>
      </w:r>
      <w:r w:rsidR="000254B1" w:rsidRPr="000735C9">
        <w:rPr>
          <w:rFonts w:ascii="Verdana" w:eastAsia="Calibri" w:hAnsi="Verdana" w:cs="Arial"/>
          <w:sz w:val="24"/>
          <w:szCs w:val="24"/>
          <w:lang w:val="en-GB"/>
        </w:rPr>
        <w:t>Immediate/informal feedback provide</w:t>
      </w:r>
      <w:r w:rsidR="004C6BE2">
        <w:rPr>
          <w:rFonts w:ascii="Verdana" w:eastAsia="Calibri" w:hAnsi="Verdana" w:cs="Arial"/>
          <w:sz w:val="24"/>
          <w:szCs w:val="24"/>
          <w:lang w:val="en-GB"/>
        </w:rPr>
        <w:t xml:space="preserve">d at the </w:t>
      </w:r>
      <w:r w:rsidR="00853351">
        <w:rPr>
          <w:rFonts w:ascii="Verdana" w:eastAsia="Calibri" w:hAnsi="Verdana" w:cs="Arial"/>
          <w:sz w:val="24"/>
          <w:szCs w:val="24"/>
          <w:lang w:val="en-GB"/>
        </w:rPr>
        <w:t xml:space="preserve">time </w:t>
      </w:r>
      <w:r w:rsidR="004C6BE2">
        <w:rPr>
          <w:rFonts w:ascii="Verdana" w:eastAsia="Calibri" w:hAnsi="Verdana" w:cs="Arial"/>
          <w:sz w:val="24"/>
          <w:szCs w:val="24"/>
          <w:lang w:val="en-GB"/>
        </w:rPr>
        <w:t>of the visit is that the local authority</w:t>
      </w:r>
      <w:r w:rsidR="000254B1" w:rsidRPr="000735C9">
        <w:rPr>
          <w:rFonts w:ascii="Verdana" w:eastAsia="Calibri" w:hAnsi="Verdana" w:cs="Arial"/>
          <w:sz w:val="24"/>
          <w:szCs w:val="24"/>
          <w:lang w:val="en-GB"/>
        </w:rPr>
        <w:t xml:space="preserve"> were generally impressed with the safety provision in place; </w:t>
      </w:r>
      <w:r w:rsidR="004C6BE2">
        <w:rPr>
          <w:rFonts w:ascii="Verdana" w:eastAsia="Calibri" w:hAnsi="Verdana" w:cs="Arial"/>
          <w:sz w:val="24"/>
          <w:szCs w:val="24"/>
          <w:lang w:val="en-GB"/>
        </w:rPr>
        <w:t>g</w:t>
      </w:r>
      <w:r w:rsidR="000254B1" w:rsidRPr="000735C9">
        <w:rPr>
          <w:rFonts w:ascii="Verdana" w:eastAsia="Calibri" w:hAnsi="Verdana" w:cs="Arial"/>
          <w:sz w:val="24"/>
          <w:szCs w:val="24"/>
          <w:lang w:val="en-GB"/>
        </w:rPr>
        <w:t>enerally impressed with the level of detail and standard of documentation in place; and provided constructive feedback on some additional considerations to be undertaken.</w:t>
      </w:r>
      <w:r w:rsidR="00AF41B9">
        <w:rPr>
          <w:rFonts w:ascii="Verdana" w:eastAsia="Calibri" w:hAnsi="Verdana" w:cs="Arial"/>
          <w:sz w:val="24"/>
          <w:szCs w:val="24"/>
          <w:lang w:val="en-GB"/>
        </w:rPr>
        <w:t xml:space="preserve"> </w:t>
      </w:r>
      <w:r w:rsidR="004C6BE2">
        <w:rPr>
          <w:rFonts w:ascii="Verdana" w:eastAsia="Calibri" w:hAnsi="Verdana" w:cs="Arial"/>
          <w:sz w:val="24"/>
          <w:szCs w:val="24"/>
          <w:lang w:val="en-GB"/>
        </w:rPr>
        <w:t xml:space="preserve">The Health &amp; Safety Team is also undertaking regular CoVID-19 premise inspections.  </w:t>
      </w:r>
      <w:r w:rsidR="000254B1" w:rsidRPr="000735C9">
        <w:rPr>
          <w:rFonts w:ascii="Verdana" w:eastAsia="Calibri" w:hAnsi="Verdana" w:cs="Arial"/>
          <w:sz w:val="24"/>
          <w:szCs w:val="24"/>
          <w:lang w:val="en-GB"/>
        </w:rPr>
        <w:t xml:space="preserve"> </w:t>
      </w:r>
    </w:p>
    <w:p w14:paraId="3990D332" w14:textId="77777777" w:rsidR="004C6BE2" w:rsidRPr="000735C9" w:rsidRDefault="004C6BE2" w:rsidP="004C6BE2">
      <w:pPr>
        <w:spacing w:after="0" w:line="240" w:lineRule="auto"/>
        <w:jc w:val="both"/>
        <w:rPr>
          <w:rFonts w:ascii="Verdana" w:eastAsia="Calibri" w:hAnsi="Verdana" w:cs="Arial"/>
          <w:sz w:val="24"/>
          <w:szCs w:val="24"/>
          <w:lang w:val="en-GB"/>
        </w:rPr>
      </w:pPr>
    </w:p>
    <w:p w14:paraId="0402FCB9" w14:textId="77777777" w:rsidR="00401D1F" w:rsidRPr="00401D1F" w:rsidRDefault="00401D1F" w:rsidP="00401D1F">
      <w:pPr>
        <w:spacing w:after="0" w:line="240" w:lineRule="auto"/>
        <w:ind w:left="1418" w:hanging="709"/>
        <w:jc w:val="both"/>
        <w:rPr>
          <w:rFonts w:ascii="Verdana" w:eastAsia="Calibri" w:hAnsi="Verdana" w:cs="Arial"/>
          <w:sz w:val="24"/>
          <w:szCs w:val="24"/>
          <w:u w:val="single"/>
        </w:rPr>
      </w:pPr>
      <w:r w:rsidRPr="00401D1F">
        <w:rPr>
          <w:rFonts w:ascii="Verdana" w:eastAsia="Calibri" w:hAnsi="Verdana" w:cs="Arial"/>
          <w:sz w:val="24"/>
          <w:szCs w:val="24"/>
          <w:u w:val="single"/>
        </w:rPr>
        <w:t xml:space="preserve">Clinical Outcomes </w:t>
      </w:r>
    </w:p>
    <w:p w14:paraId="01A5EF05" w14:textId="77777777" w:rsidR="00401D1F" w:rsidRPr="004C6BE2" w:rsidRDefault="00401D1F" w:rsidP="00401D1F">
      <w:pPr>
        <w:spacing w:after="0" w:line="240" w:lineRule="auto"/>
        <w:ind w:left="709" w:hanging="709"/>
        <w:jc w:val="both"/>
        <w:rPr>
          <w:rFonts w:ascii="Verdana" w:eastAsia="Calibri" w:hAnsi="Verdana" w:cs="Arial"/>
          <w:sz w:val="24"/>
          <w:szCs w:val="24"/>
        </w:rPr>
      </w:pPr>
    </w:p>
    <w:p w14:paraId="55CF53EE" w14:textId="77777777" w:rsidR="007C2548" w:rsidRPr="004C6BE2" w:rsidRDefault="0011023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2.15</w:t>
      </w:r>
      <w:r>
        <w:rPr>
          <w:rFonts w:ascii="Verdana" w:eastAsia="Calibri" w:hAnsi="Verdana" w:cs="Arial"/>
          <w:sz w:val="24"/>
          <w:szCs w:val="24"/>
        </w:rPr>
        <w:tab/>
        <w:t>T</w:t>
      </w:r>
      <w:r w:rsidR="007C2548" w:rsidRPr="004C6BE2">
        <w:rPr>
          <w:rFonts w:ascii="Verdana" w:eastAsia="Calibri" w:hAnsi="Verdana" w:cs="Arial"/>
          <w:sz w:val="24"/>
          <w:szCs w:val="24"/>
        </w:rPr>
        <w:t>his rep</w:t>
      </w:r>
      <w:r w:rsidR="004C6BE2">
        <w:rPr>
          <w:rFonts w:ascii="Verdana" w:eastAsia="Calibri" w:hAnsi="Verdana" w:cs="Arial"/>
          <w:sz w:val="24"/>
          <w:szCs w:val="24"/>
        </w:rPr>
        <w:t xml:space="preserve">ort includes an update for the </w:t>
      </w:r>
      <w:r w:rsidR="004C6BE2" w:rsidRPr="00210BD1">
        <w:rPr>
          <w:rFonts w:ascii="Verdana" w:eastAsia="Calibri" w:hAnsi="Verdana" w:cs="Arial"/>
          <w:b/>
          <w:sz w:val="24"/>
          <w:szCs w:val="24"/>
        </w:rPr>
        <w:t>c</w:t>
      </w:r>
      <w:r w:rsidR="007C2548" w:rsidRPr="00210BD1">
        <w:rPr>
          <w:rFonts w:ascii="Verdana" w:eastAsia="Calibri" w:hAnsi="Verdana" w:cs="Arial"/>
          <w:b/>
          <w:sz w:val="24"/>
          <w:szCs w:val="24"/>
        </w:rPr>
        <w:t xml:space="preserve">linical </w:t>
      </w:r>
      <w:r w:rsidR="004C6BE2" w:rsidRPr="00210BD1">
        <w:rPr>
          <w:rFonts w:ascii="Verdana" w:eastAsia="Calibri" w:hAnsi="Verdana" w:cs="Arial"/>
          <w:b/>
          <w:sz w:val="24"/>
          <w:szCs w:val="24"/>
        </w:rPr>
        <w:t>i</w:t>
      </w:r>
      <w:r w:rsidR="007C2548" w:rsidRPr="00210BD1">
        <w:rPr>
          <w:rFonts w:ascii="Verdana" w:eastAsia="Calibri" w:hAnsi="Verdana" w:cs="Arial"/>
          <w:b/>
          <w:sz w:val="24"/>
          <w:szCs w:val="24"/>
        </w:rPr>
        <w:t>ndicator measures</w:t>
      </w:r>
      <w:r w:rsidR="007C2548" w:rsidRPr="004C6BE2">
        <w:rPr>
          <w:rFonts w:ascii="Verdana" w:eastAsia="Calibri" w:hAnsi="Verdana" w:cs="Arial"/>
          <w:sz w:val="24"/>
          <w:szCs w:val="24"/>
        </w:rPr>
        <w:t xml:space="preserve"> to Sep-20.  The next reporting point was due to be Jan-21; however, d</w:t>
      </w:r>
      <w:r w:rsidR="007C2548" w:rsidRPr="004C6BE2">
        <w:rPr>
          <w:rFonts w:ascii="Verdana" w:hAnsi="Verdana" w:cs="Arial"/>
          <w:sz w:val="24"/>
          <w:szCs w:val="24"/>
        </w:rPr>
        <w:t xml:space="preserve">ue to technical issues </w:t>
      </w:r>
      <w:r w:rsidR="004C6BE2">
        <w:rPr>
          <w:rFonts w:ascii="Verdana" w:hAnsi="Verdana" w:cs="Arial"/>
          <w:sz w:val="24"/>
          <w:szCs w:val="24"/>
        </w:rPr>
        <w:t>and challenges related to the Co</w:t>
      </w:r>
      <w:r w:rsidR="007C2548" w:rsidRPr="004C6BE2">
        <w:rPr>
          <w:rFonts w:ascii="Verdana" w:hAnsi="Verdana" w:cs="Arial"/>
          <w:sz w:val="24"/>
          <w:szCs w:val="24"/>
        </w:rPr>
        <w:t xml:space="preserve">VID-19 pandemic, the clinical indicator Ambulance Quality Indicators (AQIs) were not included in the AQI pack released on 27 Jan-21.  </w:t>
      </w:r>
      <w:r w:rsidR="00AF41B9">
        <w:rPr>
          <w:rFonts w:ascii="Verdana" w:hAnsi="Verdana" w:cs="Arial"/>
          <w:sz w:val="24"/>
          <w:szCs w:val="24"/>
        </w:rPr>
        <w:t>WAST</w:t>
      </w:r>
      <w:r w:rsidR="007C2548" w:rsidRPr="004C6BE2">
        <w:rPr>
          <w:rFonts w:ascii="Verdana" w:hAnsi="Verdana" w:cs="Arial"/>
          <w:sz w:val="24"/>
          <w:szCs w:val="24"/>
        </w:rPr>
        <w:t xml:space="preserve"> is working with the suppliers on the technical issues, with the plan to provide the clinical AQIs retrospectively along with the Q</w:t>
      </w:r>
      <w:r w:rsidR="00AF41B9">
        <w:rPr>
          <w:rFonts w:ascii="Verdana" w:hAnsi="Verdana" w:cs="Arial"/>
          <w:sz w:val="24"/>
          <w:szCs w:val="24"/>
        </w:rPr>
        <w:t xml:space="preserve">uarter </w:t>
      </w:r>
      <w:r w:rsidR="007C2548" w:rsidRPr="004C6BE2">
        <w:rPr>
          <w:rFonts w:ascii="Verdana" w:hAnsi="Verdana" w:cs="Arial"/>
          <w:sz w:val="24"/>
          <w:szCs w:val="24"/>
        </w:rPr>
        <w:t>4 data</w:t>
      </w:r>
      <w:r w:rsidR="004C6BE2">
        <w:rPr>
          <w:rFonts w:ascii="Verdana" w:hAnsi="Verdana" w:cs="Arial"/>
          <w:sz w:val="24"/>
          <w:szCs w:val="24"/>
        </w:rPr>
        <w:t>.</w:t>
      </w:r>
    </w:p>
    <w:p w14:paraId="0DD3A563" w14:textId="77777777" w:rsidR="007C2548" w:rsidRPr="004C6BE2" w:rsidRDefault="007C2548" w:rsidP="00401D1F">
      <w:pPr>
        <w:spacing w:after="0" w:line="240" w:lineRule="auto"/>
        <w:ind w:left="709" w:hanging="709"/>
        <w:jc w:val="both"/>
        <w:rPr>
          <w:rFonts w:ascii="Verdana" w:eastAsia="Calibri" w:hAnsi="Verdana" w:cs="Arial"/>
          <w:sz w:val="24"/>
          <w:szCs w:val="24"/>
        </w:rPr>
      </w:pPr>
    </w:p>
    <w:p w14:paraId="0B7C7054" w14:textId="77777777" w:rsidR="00401D1F" w:rsidRPr="00401D1F" w:rsidRDefault="0011023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2.16</w:t>
      </w:r>
      <w:r>
        <w:rPr>
          <w:rFonts w:ascii="Verdana" w:eastAsia="Calibri" w:hAnsi="Verdana" w:cs="Arial"/>
          <w:sz w:val="24"/>
          <w:szCs w:val="24"/>
        </w:rPr>
        <w:tab/>
      </w:r>
      <w:r w:rsidR="00401D1F" w:rsidRPr="00401D1F">
        <w:rPr>
          <w:rFonts w:ascii="Verdana" w:eastAsia="Calibri" w:hAnsi="Verdana" w:cs="Arial"/>
          <w:sz w:val="24"/>
          <w:szCs w:val="24"/>
        </w:rPr>
        <w:t xml:space="preserve">Currently, </w:t>
      </w:r>
      <w:r w:rsidR="00AF41B9">
        <w:rPr>
          <w:rFonts w:ascii="Verdana" w:eastAsia="Calibri" w:hAnsi="Verdana" w:cs="Arial"/>
          <w:sz w:val="24"/>
          <w:szCs w:val="24"/>
        </w:rPr>
        <w:t xml:space="preserve">WAST </w:t>
      </w:r>
      <w:r w:rsidR="00401D1F" w:rsidRPr="00401D1F">
        <w:rPr>
          <w:rFonts w:ascii="Verdana" w:eastAsia="Calibri" w:hAnsi="Verdana" w:cs="Arial"/>
          <w:sz w:val="24"/>
          <w:szCs w:val="24"/>
        </w:rPr>
        <w:t>reports on eight clinical indicators.  Five of these are care bundles for specific conditions; a care bundle requires each and every specific criterion of care to be met.  Seven of the clinical indicators have a commissioning intention of 95%, the exception being the return of spontaneous circulation (ROSC) indicator.</w:t>
      </w:r>
    </w:p>
    <w:p w14:paraId="3FEE042F" w14:textId="77777777" w:rsidR="00401D1F" w:rsidRPr="00401D1F" w:rsidRDefault="00401D1F" w:rsidP="00401D1F">
      <w:pPr>
        <w:spacing w:after="0" w:line="240" w:lineRule="auto"/>
        <w:ind w:left="709" w:hanging="709"/>
        <w:jc w:val="both"/>
        <w:rPr>
          <w:rFonts w:ascii="Verdana" w:eastAsia="Calibri" w:hAnsi="Verdana" w:cs="Arial"/>
          <w:sz w:val="24"/>
          <w:szCs w:val="24"/>
        </w:rPr>
      </w:pPr>
    </w:p>
    <w:p w14:paraId="2923455C" w14:textId="0D149F8B" w:rsidR="00401D1F" w:rsidRPr="00401D1F" w:rsidRDefault="0011023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2.17</w:t>
      </w:r>
      <w:r w:rsidR="001004C2">
        <w:rPr>
          <w:rFonts w:ascii="Verdana" w:eastAsia="Calibri" w:hAnsi="Verdana" w:cs="Arial"/>
          <w:sz w:val="24"/>
          <w:szCs w:val="24"/>
        </w:rPr>
        <w:tab/>
      </w:r>
      <w:r w:rsidR="00401D1F" w:rsidRPr="00210BD1">
        <w:rPr>
          <w:rFonts w:ascii="Verdana" w:eastAsia="Calibri" w:hAnsi="Verdana" w:cs="Arial"/>
          <w:b/>
          <w:sz w:val="24"/>
          <w:szCs w:val="24"/>
        </w:rPr>
        <w:t>Of the seven, three achieved the 95% in the period Jul-20 to Sep-20 (Quarter 2), three others were above 80%.</w:t>
      </w:r>
      <w:r w:rsidR="00401D1F" w:rsidRPr="00401D1F">
        <w:rPr>
          <w:rFonts w:ascii="Verdana" w:eastAsia="Calibri" w:hAnsi="Verdana" w:cs="Arial"/>
          <w:sz w:val="24"/>
          <w:szCs w:val="24"/>
        </w:rPr>
        <w:t xml:space="preserve"> The ST segment elevation myocardial infarction (STEMI) indicator is an area of concern achieving less than 80% through quarter 2. These percentages refer to the application of a whole bundle of care. For each of the individual elements the percentage compliance is consistently above 86%. Targeted improvement work is required to improve consistency, which will improve care bundle reporting.</w:t>
      </w:r>
    </w:p>
    <w:p w14:paraId="49289C6F" w14:textId="77777777" w:rsidR="00401D1F" w:rsidRPr="00401D1F" w:rsidRDefault="00401D1F" w:rsidP="00401D1F">
      <w:pPr>
        <w:spacing w:after="0" w:line="240" w:lineRule="auto"/>
        <w:ind w:left="709" w:hanging="709"/>
        <w:jc w:val="both"/>
        <w:rPr>
          <w:rFonts w:ascii="Verdana" w:eastAsia="Calibri" w:hAnsi="Verdana" w:cs="Arial"/>
          <w:sz w:val="24"/>
          <w:szCs w:val="24"/>
        </w:rPr>
      </w:pPr>
    </w:p>
    <w:p w14:paraId="6B3960A0" w14:textId="77777777" w:rsidR="0049517E" w:rsidRDefault="0011023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2.18</w:t>
      </w:r>
      <w:r w:rsidR="001004C2">
        <w:rPr>
          <w:rFonts w:ascii="Verdana" w:eastAsia="Calibri" w:hAnsi="Verdana" w:cs="Arial"/>
          <w:sz w:val="24"/>
          <w:szCs w:val="24"/>
        </w:rPr>
        <w:tab/>
      </w:r>
      <w:r w:rsidR="00AF41B9">
        <w:rPr>
          <w:rFonts w:ascii="Verdana" w:eastAsia="Calibri" w:hAnsi="Verdana" w:cs="Arial"/>
          <w:sz w:val="24"/>
          <w:szCs w:val="24"/>
        </w:rPr>
        <w:t>The percentage</w:t>
      </w:r>
      <w:r w:rsidR="00401D1F" w:rsidRPr="00401D1F">
        <w:rPr>
          <w:rFonts w:ascii="Verdana" w:eastAsia="Calibri" w:hAnsi="Verdana" w:cs="Arial"/>
          <w:sz w:val="24"/>
          <w:szCs w:val="24"/>
        </w:rPr>
        <w:t xml:space="preserve"> of patients with attempted resuscitation following cardiac arrest, documented as having a ROSC at hospital door was 7.91% in Sep-20 (11.37% Aug-20 and 10.30% Jul-20). Rates of ROSC are complex and determined by a number of factors which contribute to the speed of response and the application of early defibrillation and chest compressions.  These factors can include location of the incident, resource availability, public access defibrillation, willingness of bystanders to engage in resuscitation. </w:t>
      </w:r>
    </w:p>
    <w:p w14:paraId="36062923" w14:textId="1C6EC9DB" w:rsidR="00401D1F" w:rsidRPr="001A4358" w:rsidRDefault="0049517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2C2444">
        <w:rPr>
          <w:rFonts w:ascii="Verdana" w:eastAsia="Calibri" w:hAnsi="Verdana" w:cs="Arial"/>
          <w:sz w:val="24"/>
          <w:szCs w:val="24"/>
        </w:rPr>
        <w:t xml:space="preserve">As part of its plans for 2021/22, the Trust is developing the concept of Cymru High Acuity Response Units for implementation. This concept is in place in a number of places across the UK </w:t>
      </w:r>
      <w:r w:rsidR="002C2444" w:rsidRPr="001A4358">
        <w:rPr>
          <w:rFonts w:ascii="Verdana" w:eastAsia="Calibri" w:hAnsi="Verdana" w:cs="Arial"/>
          <w:sz w:val="24"/>
          <w:szCs w:val="24"/>
        </w:rPr>
        <w:t>and has been very successful in increasing ROSC rates</w:t>
      </w:r>
      <w:r w:rsidR="001A4358" w:rsidRPr="001A4358">
        <w:rPr>
          <w:rFonts w:ascii="Verdana" w:eastAsia="Calibri" w:hAnsi="Verdana" w:cs="Arial"/>
          <w:sz w:val="24"/>
          <w:szCs w:val="24"/>
        </w:rPr>
        <w:t>. These units su</w:t>
      </w:r>
      <w:r w:rsidR="001A4358" w:rsidRPr="001A4358">
        <w:rPr>
          <w:rFonts w:ascii="Verdana" w:eastAsia="Calibri" w:hAnsi="Verdana" w:cs="Arial"/>
          <w:bCs/>
          <w:sz w:val="24"/>
          <w:szCs w:val="24"/>
          <w:lang w:val="en-GB"/>
        </w:rPr>
        <w:t xml:space="preserve">pplement the response to critical incidents </w:t>
      </w:r>
      <w:r w:rsidR="001A4358">
        <w:rPr>
          <w:rFonts w:ascii="Verdana" w:eastAsia="Calibri" w:hAnsi="Verdana" w:cs="Arial"/>
          <w:bCs/>
          <w:sz w:val="24"/>
          <w:szCs w:val="24"/>
          <w:lang w:val="en-GB"/>
        </w:rPr>
        <w:t>and are c</w:t>
      </w:r>
      <w:r w:rsidR="001A4358" w:rsidRPr="001A4358">
        <w:rPr>
          <w:rFonts w:ascii="Verdana" w:eastAsia="Calibri" w:hAnsi="Verdana" w:cs="Arial"/>
          <w:bCs/>
          <w:sz w:val="24"/>
          <w:szCs w:val="24"/>
          <w:lang w:val="en-GB"/>
        </w:rPr>
        <w:t>rewed by a mix of S</w:t>
      </w:r>
      <w:r w:rsidR="001A4358">
        <w:rPr>
          <w:rFonts w:ascii="Verdana" w:eastAsia="Calibri" w:hAnsi="Verdana" w:cs="Arial"/>
          <w:bCs/>
          <w:sz w:val="24"/>
          <w:szCs w:val="24"/>
          <w:lang w:val="en-GB"/>
        </w:rPr>
        <w:t>enior Paramedics</w:t>
      </w:r>
      <w:r w:rsidR="001A4358" w:rsidRPr="001A4358">
        <w:rPr>
          <w:rFonts w:ascii="Verdana" w:eastAsia="Calibri" w:hAnsi="Verdana" w:cs="Arial"/>
          <w:bCs/>
          <w:sz w:val="24"/>
          <w:szCs w:val="24"/>
          <w:lang w:val="en-GB"/>
        </w:rPr>
        <w:t xml:space="preserve"> and selected paramedics, maximis</w:t>
      </w:r>
      <w:r w:rsidR="001A4358">
        <w:rPr>
          <w:rFonts w:ascii="Verdana" w:eastAsia="Calibri" w:hAnsi="Verdana" w:cs="Arial"/>
          <w:bCs/>
          <w:sz w:val="24"/>
          <w:szCs w:val="24"/>
          <w:lang w:val="en-GB"/>
        </w:rPr>
        <w:t>ing</w:t>
      </w:r>
      <w:r w:rsidR="001A4358" w:rsidRPr="001A4358">
        <w:rPr>
          <w:rFonts w:ascii="Verdana" w:eastAsia="Calibri" w:hAnsi="Verdana" w:cs="Arial"/>
          <w:bCs/>
          <w:sz w:val="24"/>
          <w:szCs w:val="24"/>
          <w:lang w:val="en-GB"/>
        </w:rPr>
        <w:t xml:space="preserve"> the provision of enhanced clinical care and ensure the consistent delivery of core critical care requirements across the whole of Wales</w:t>
      </w:r>
      <w:r w:rsidR="001A4358">
        <w:rPr>
          <w:rFonts w:ascii="Verdana" w:eastAsia="Calibri" w:hAnsi="Verdana" w:cs="Arial"/>
          <w:bCs/>
          <w:sz w:val="24"/>
          <w:szCs w:val="24"/>
          <w:lang w:val="en-GB"/>
        </w:rPr>
        <w:t>.</w:t>
      </w:r>
    </w:p>
    <w:p w14:paraId="25650340" w14:textId="77777777" w:rsidR="00401D1F" w:rsidRDefault="00401D1F" w:rsidP="00401D1F">
      <w:pPr>
        <w:spacing w:after="0" w:line="240" w:lineRule="auto"/>
        <w:ind w:left="709" w:hanging="709"/>
        <w:jc w:val="both"/>
        <w:rPr>
          <w:rFonts w:ascii="Verdana" w:eastAsia="Calibri" w:hAnsi="Verdana" w:cs="Arial"/>
          <w:sz w:val="24"/>
          <w:szCs w:val="24"/>
        </w:rPr>
      </w:pPr>
    </w:p>
    <w:p w14:paraId="2F3A786E" w14:textId="77777777" w:rsidR="00401D1F" w:rsidRPr="00401D1F" w:rsidRDefault="0011023E"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2.19</w:t>
      </w:r>
      <w:r w:rsidR="001004C2">
        <w:rPr>
          <w:rFonts w:ascii="Verdana" w:eastAsia="Calibri" w:hAnsi="Verdana" w:cs="Arial"/>
          <w:sz w:val="24"/>
          <w:szCs w:val="24"/>
        </w:rPr>
        <w:tab/>
      </w:r>
      <w:r w:rsidR="00401D1F" w:rsidRPr="00401D1F">
        <w:rPr>
          <w:rFonts w:ascii="Verdana" w:eastAsia="Calibri" w:hAnsi="Verdana" w:cs="Arial"/>
          <w:sz w:val="24"/>
          <w:szCs w:val="24"/>
        </w:rPr>
        <w:t>A new chronic obstructive pulmonary disease (COPD) clinical indicator has been developed, to support the Band 6 Paramedic project.  The specification for this indicator has been sent to Health Informatics to build the report.  The onward referral aspect of this indicator is work in progress and forms part of the national COPD pathway development.  The Clinical Indicator Review Group has not met due to the pandemic</w:t>
      </w:r>
      <w:r w:rsidR="00AF41B9">
        <w:rPr>
          <w:rFonts w:ascii="Verdana" w:eastAsia="Calibri" w:hAnsi="Verdana" w:cs="Arial"/>
          <w:sz w:val="24"/>
          <w:szCs w:val="24"/>
        </w:rPr>
        <w:t>,</w:t>
      </w:r>
      <w:r w:rsidR="00401D1F" w:rsidRPr="00401D1F">
        <w:rPr>
          <w:rFonts w:ascii="Verdana" w:eastAsia="Calibri" w:hAnsi="Verdana" w:cs="Arial"/>
          <w:sz w:val="24"/>
          <w:szCs w:val="24"/>
        </w:rPr>
        <w:t xml:space="preserve"> but meetings form part of the recovery process within the Medical and Clinical Services Directorate.</w:t>
      </w:r>
    </w:p>
    <w:p w14:paraId="712AE70E" w14:textId="77777777" w:rsidR="007C2548" w:rsidRPr="00401D1F" w:rsidRDefault="007C2548" w:rsidP="00401D1F">
      <w:pPr>
        <w:spacing w:after="0" w:line="240" w:lineRule="auto"/>
        <w:ind w:left="709" w:hanging="709"/>
        <w:jc w:val="both"/>
        <w:rPr>
          <w:rFonts w:ascii="Verdana" w:eastAsia="Calibri" w:hAnsi="Verdana" w:cs="Arial"/>
          <w:sz w:val="24"/>
          <w:szCs w:val="24"/>
        </w:rPr>
      </w:pPr>
    </w:p>
    <w:p w14:paraId="15EEEEC9" w14:textId="77777777" w:rsidR="001004C2" w:rsidRDefault="0011023E"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2.20</w:t>
      </w:r>
      <w:r w:rsidR="001004C2">
        <w:rPr>
          <w:rFonts w:ascii="Verdana" w:eastAsia="Calibri" w:hAnsi="Verdana" w:cs="Arial"/>
          <w:sz w:val="24"/>
          <w:szCs w:val="24"/>
        </w:rPr>
        <w:tab/>
      </w:r>
      <w:r w:rsidR="001004C2" w:rsidRPr="00401D1F">
        <w:rPr>
          <w:rFonts w:ascii="Verdana" w:eastAsia="Calibri" w:hAnsi="Verdana" w:cs="Arial"/>
          <w:sz w:val="24"/>
          <w:szCs w:val="24"/>
        </w:rPr>
        <w:t xml:space="preserve">The longer term ambition </w:t>
      </w:r>
      <w:r w:rsidR="00AF41B9">
        <w:rPr>
          <w:rFonts w:ascii="Verdana" w:eastAsia="Calibri" w:hAnsi="Verdana" w:cs="Arial"/>
          <w:sz w:val="24"/>
          <w:szCs w:val="24"/>
        </w:rPr>
        <w:t>for WAST</w:t>
      </w:r>
      <w:r w:rsidR="001004C2">
        <w:rPr>
          <w:rFonts w:ascii="Verdana" w:eastAsia="Calibri" w:hAnsi="Verdana" w:cs="Arial"/>
          <w:sz w:val="24"/>
          <w:szCs w:val="24"/>
        </w:rPr>
        <w:t xml:space="preserve"> is to link </w:t>
      </w:r>
      <w:r w:rsidR="00AF41B9">
        <w:rPr>
          <w:rFonts w:ascii="Verdana" w:eastAsia="Calibri" w:hAnsi="Verdana" w:cs="Arial"/>
          <w:sz w:val="24"/>
          <w:szCs w:val="24"/>
        </w:rPr>
        <w:t>it</w:t>
      </w:r>
      <w:r w:rsidR="001004C2" w:rsidRPr="00401D1F">
        <w:rPr>
          <w:rFonts w:ascii="Verdana" w:eastAsia="Calibri" w:hAnsi="Verdana" w:cs="Arial"/>
          <w:sz w:val="24"/>
          <w:szCs w:val="24"/>
        </w:rPr>
        <w:t xml:space="preserve">s patient data </w:t>
      </w:r>
      <w:r w:rsidR="001004C2">
        <w:rPr>
          <w:rFonts w:ascii="Verdana" w:eastAsia="Calibri" w:hAnsi="Verdana" w:cs="Arial"/>
          <w:sz w:val="24"/>
          <w:szCs w:val="24"/>
        </w:rPr>
        <w:t>with</w:t>
      </w:r>
      <w:r w:rsidR="001004C2" w:rsidRPr="00401D1F">
        <w:rPr>
          <w:rFonts w:ascii="Verdana" w:eastAsia="Calibri" w:hAnsi="Verdana" w:cs="Arial"/>
          <w:sz w:val="24"/>
          <w:szCs w:val="24"/>
        </w:rPr>
        <w:t xml:space="preserve"> health board patient data so that we can track the eventual patient outcome once conveyed into a hospital.  </w:t>
      </w:r>
      <w:r w:rsidR="007C2548" w:rsidRPr="00AF41B9">
        <w:rPr>
          <w:rFonts w:ascii="Verdana" w:eastAsia="Calibri" w:hAnsi="Verdana" w:cs="Arial"/>
          <w:sz w:val="24"/>
          <w:szCs w:val="24"/>
        </w:rPr>
        <w:t xml:space="preserve">The </w:t>
      </w:r>
      <w:r w:rsidR="007C2548" w:rsidRPr="00210BD1">
        <w:rPr>
          <w:rFonts w:ascii="Verdana" w:eastAsia="Calibri" w:hAnsi="Verdana" w:cs="Arial"/>
          <w:b/>
          <w:sz w:val="24"/>
          <w:szCs w:val="24"/>
        </w:rPr>
        <w:t>ePCR project</w:t>
      </w:r>
      <w:r w:rsidR="007C2548" w:rsidRPr="00AF41B9">
        <w:rPr>
          <w:rFonts w:ascii="Verdana" w:eastAsia="Calibri" w:hAnsi="Verdana" w:cs="Arial"/>
          <w:sz w:val="24"/>
          <w:szCs w:val="24"/>
        </w:rPr>
        <w:t xml:space="preserve"> will be critical to delivering this ambition. The contract has now been awarded and th</w:t>
      </w:r>
      <w:r w:rsidR="004C6BE2" w:rsidRPr="00AF41B9">
        <w:rPr>
          <w:rFonts w:ascii="Verdana" w:eastAsia="Calibri" w:hAnsi="Verdana" w:cs="Arial"/>
          <w:sz w:val="24"/>
          <w:szCs w:val="24"/>
        </w:rPr>
        <w:t>e project is in delivery phase.</w:t>
      </w:r>
    </w:p>
    <w:p w14:paraId="0A4B61AD" w14:textId="77777777" w:rsidR="00401D1F" w:rsidRPr="00401D1F" w:rsidRDefault="00401D1F" w:rsidP="00401D1F">
      <w:pPr>
        <w:spacing w:after="0" w:line="240" w:lineRule="auto"/>
        <w:ind w:left="709" w:hanging="709"/>
        <w:jc w:val="both"/>
        <w:rPr>
          <w:rFonts w:ascii="Verdana" w:eastAsia="Calibri" w:hAnsi="Verdana" w:cs="Arial"/>
          <w:sz w:val="24"/>
          <w:szCs w:val="24"/>
        </w:rPr>
      </w:pPr>
    </w:p>
    <w:p w14:paraId="08EED65C" w14:textId="5078C369" w:rsidR="00A97B5E" w:rsidRPr="0017112C" w:rsidRDefault="00A97B5E" w:rsidP="00A97B5E">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4C6BE2">
        <w:rPr>
          <w:rFonts w:ascii="Verdana" w:hAnsi="Verdana"/>
          <w:b/>
          <w:sz w:val="24"/>
          <w:szCs w:val="24"/>
        </w:rPr>
        <w:t xml:space="preserve"> </w:t>
      </w:r>
      <w:r w:rsidR="00401D1F">
        <w:rPr>
          <w:rFonts w:ascii="Verdana" w:hAnsi="Verdana"/>
          <w:b/>
          <w:sz w:val="24"/>
          <w:szCs w:val="24"/>
        </w:rPr>
        <w:t>lengthening response times in the community mean that there</w:t>
      </w:r>
      <w:r w:rsidR="004C6BE2">
        <w:rPr>
          <w:rFonts w:ascii="Verdana" w:hAnsi="Verdana"/>
          <w:b/>
          <w:sz w:val="24"/>
          <w:szCs w:val="24"/>
        </w:rPr>
        <w:t xml:space="preserve"> has been an </w:t>
      </w:r>
      <w:r w:rsidR="00401D1F">
        <w:rPr>
          <w:rFonts w:ascii="Verdana" w:hAnsi="Verdana"/>
          <w:b/>
          <w:sz w:val="24"/>
          <w:szCs w:val="24"/>
        </w:rPr>
        <w:t xml:space="preserve">increasing </w:t>
      </w:r>
      <w:r w:rsidR="004C6BE2">
        <w:rPr>
          <w:rFonts w:ascii="Verdana" w:hAnsi="Verdana"/>
          <w:b/>
          <w:sz w:val="24"/>
          <w:szCs w:val="24"/>
        </w:rPr>
        <w:t xml:space="preserve">risk to </w:t>
      </w:r>
      <w:r w:rsidR="00401D1F">
        <w:rPr>
          <w:rFonts w:ascii="Verdana" w:hAnsi="Verdana"/>
          <w:b/>
          <w:sz w:val="24"/>
          <w:szCs w:val="24"/>
        </w:rPr>
        <w:t>patient safety</w:t>
      </w:r>
      <w:r w:rsidR="004C6BE2">
        <w:rPr>
          <w:rFonts w:ascii="Verdana" w:hAnsi="Verdana"/>
          <w:b/>
          <w:sz w:val="24"/>
          <w:szCs w:val="24"/>
        </w:rPr>
        <w:t>; this has resulted in 42 patient safety incidents being passed to health boards under the Appendix B arrangem</w:t>
      </w:r>
      <w:r w:rsidR="00BB6614">
        <w:rPr>
          <w:rFonts w:ascii="Verdana" w:hAnsi="Verdana"/>
          <w:b/>
          <w:sz w:val="24"/>
          <w:szCs w:val="24"/>
        </w:rPr>
        <w:t>ents over the last three months; WAST has enhanced its patient safety reporting arrangements with health boards; that performance on the clinical indicators has not been formally reported since Sep-20 with actions to address this with retrospective reporting planned at the end of quarter 4; and th</w:t>
      </w:r>
      <w:r w:rsidR="001004C2">
        <w:rPr>
          <w:rFonts w:ascii="Verdana" w:hAnsi="Verdana"/>
          <w:b/>
          <w:sz w:val="24"/>
          <w:szCs w:val="24"/>
        </w:rPr>
        <w:t>e</w:t>
      </w:r>
      <w:r w:rsidR="00BB6614">
        <w:rPr>
          <w:rFonts w:ascii="Verdana" w:hAnsi="Verdana"/>
          <w:b/>
          <w:sz w:val="24"/>
          <w:szCs w:val="24"/>
        </w:rPr>
        <w:t xml:space="preserve"> </w:t>
      </w:r>
      <w:r w:rsidR="001004C2">
        <w:rPr>
          <w:rFonts w:ascii="Verdana" w:hAnsi="Verdana"/>
          <w:b/>
          <w:sz w:val="24"/>
          <w:szCs w:val="24"/>
        </w:rPr>
        <w:t>PCR</w:t>
      </w:r>
      <w:r w:rsidR="00BB6614">
        <w:rPr>
          <w:rFonts w:ascii="Verdana" w:hAnsi="Verdana"/>
          <w:b/>
          <w:sz w:val="24"/>
          <w:szCs w:val="24"/>
        </w:rPr>
        <w:t xml:space="preserve"> project has moved into the delivery phase with the appointment of the successful contractor</w:t>
      </w:r>
      <w:r w:rsidR="00DD41DD">
        <w:rPr>
          <w:rFonts w:ascii="Verdana" w:hAnsi="Verdana"/>
          <w:b/>
          <w:sz w:val="24"/>
          <w:szCs w:val="24"/>
        </w:rPr>
        <w:t>.</w:t>
      </w:r>
    </w:p>
    <w:p w14:paraId="4DA236DA" w14:textId="77777777" w:rsidR="00A97B5E" w:rsidRPr="00E47A8D" w:rsidRDefault="00A97B5E" w:rsidP="00A97B5E">
      <w:pPr>
        <w:pStyle w:val="ListParagraph"/>
        <w:spacing w:after="0" w:line="240" w:lineRule="auto"/>
        <w:rPr>
          <w:rFonts w:ascii="Verdana" w:eastAsia="Calibri" w:hAnsi="Verdana" w:cs="Arial"/>
          <w:b/>
          <w:sz w:val="24"/>
          <w:szCs w:val="24"/>
        </w:rPr>
      </w:pPr>
    </w:p>
    <w:p w14:paraId="631F2235" w14:textId="54BE3E83" w:rsidR="00A66377" w:rsidRPr="00E47A8D" w:rsidRDefault="0079045E"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2.2</w:t>
      </w:r>
      <w:r w:rsidR="001004C2">
        <w:rPr>
          <w:rFonts w:ascii="Verdana" w:eastAsia="Calibri" w:hAnsi="Verdana" w:cs="Arial"/>
          <w:sz w:val="24"/>
          <w:szCs w:val="24"/>
        </w:rPr>
        <w:t>1</w:t>
      </w:r>
      <w:r>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 xml:space="preserve">commissioned </w:t>
      </w:r>
      <w:r w:rsidR="0049517E">
        <w:rPr>
          <w:rFonts w:ascii="Verdana" w:eastAsia="Calibri" w:hAnsi="Verdana" w:cs="Arial"/>
          <w:sz w:val="24"/>
          <w:szCs w:val="24"/>
        </w:rPr>
        <w:t xml:space="preserve">by EASC </w:t>
      </w:r>
      <w:r w:rsidR="00A97B5E">
        <w:rPr>
          <w:rFonts w:ascii="Verdana" w:eastAsia="Calibri" w:hAnsi="Verdana" w:cs="Arial"/>
          <w:sz w:val="24"/>
          <w:szCs w:val="24"/>
        </w:rPr>
        <w:t>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 xml:space="preserve">and the Non-Emergency Patient Transport Service (NEPTS).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39D52725" w14:textId="43ED8350" w:rsidR="0011023E" w:rsidRDefault="0011023E" w:rsidP="0079045E">
      <w:pPr>
        <w:pStyle w:val="ListParagraph"/>
        <w:spacing w:after="0" w:line="240" w:lineRule="auto"/>
        <w:ind w:left="709"/>
        <w:rPr>
          <w:rFonts w:ascii="Verdana" w:eastAsia="Calibri" w:hAnsi="Verdana" w:cs="Arial"/>
          <w:b/>
          <w:sz w:val="24"/>
          <w:szCs w:val="24"/>
          <w:u w:val="single"/>
        </w:rPr>
      </w:pPr>
    </w:p>
    <w:p w14:paraId="09D36AAF" w14:textId="0EB06E27" w:rsidR="001A4358" w:rsidRDefault="001A4358" w:rsidP="0079045E">
      <w:pPr>
        <w:pStyle w:val="ListParagraph"/>
        <w:spacing w:after="0" w:line="240" w:lineRule="auto"/>
        <w:ind w:left="709"/>
        <w:rPr>
          <w:rFonts w:ascii="Verdana" w:eastAsia="Calibri" w:hAnsi="Verdana" w:cs="Arial"/>
          <w:b/>
          <w:sz w:val="24"/>
          <w:szCs w:val="24"/>
          <w:u w:val="single"/>
        </w:rPr>
      </w:pPr>
    </w:p>
    <w:p w14:paraId="217E98F3" w14:textId="10BE6065" w:rsidR="001A4358" w:rsidRDefault="001A4358" w:rsidP="0079045E">
      <w:pPr>
        <w:pStyle w:val="ListParagraph"/>
        <w:spacing w:after="0" w:line="240" w:lineRule="auto"/>
        <w:ind w:left="709"/>
        <w:rPr>
          <w:rFonts w:ascii="Verdana" w:eastAsia="Calibri" w:hAnsi="Verdana" w:cs="Arial"/>
          <w:b/>
          <w:sz w:val="24"/>
          <w:szCs w:val="24"/>
          <w:u w:val="single"/>
        </w:rPr>
      </w:pPr>
    </w:p>
    <w:p w14:paraId="7284CC6B" w14:textId="6BA31AE1" w:rsidR="001A4358" w:rsidRDefault="001A4358" w:rsidP="0079045E">
      <w:pPr>
        <w:pStyle w:val="ListParagraph"/>
        <w:spacing w:after="0" w:line="240" w:lineRule="auto"/>
        <w:ind w:left="709"/>
        <w:rPr>
          <w:rFonts w:ascii="Verdana" w:eastAsia="Calibri" w:hAnsi="Verdana" w:cs="Arial"/>
          <w:b/>
          <w:sz w:val="24"/>
          <w:szCs w:val="24"/>
          <w:u w:val="single"/>
        </w:rPr>
      </w:pPr>
    </w:p>
    <w:p w14:paraId="7BA3205D" w14:textId="77777777"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lastRenderedPageBreak/>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77777777"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77777777" w:rsidR="001004C2" w:rsidRDefault="001004C2"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2.22</w:t>
      </w:r>
      <w:r>
        <w:rPr>
          <w:rFonts w:ascii="Verdana" w:eastAsia="Calibri" w:hAnsi="Verdana" w:cs="Arial"/>
          <w:sz w:val="24"/>
          <w:szCs w:val="24"/>
        </w:rPr>
        <w:tab/>
        <w:t>As outlined earlier in the r</w:t>
      </w:r>
      <w:r w:rsidR="00BB6614">
        <w:rPr>
          <w:rFonts w:ascii="Verdana" w:eastAsia="Calibri" w:hAnsi="Verdana" w:cs="Arial"/>
          <w:sz w:val="24"/>
          <w:szCs w:val="24"/>
        </w:rPr>
        <w:t>eport, response times for both R</w:t>
      </w:r>
      <w:r>
        <w:rPr>
          <w:rFonts w:ascii="Verdana" w:eastAsia="Calibri" w:hAnsi="Verdana" w:cs="Arial"/>
          <w:sz w:val="24"/>
          <w:szCs w:val="24"/>
        </w:rPr>
        <w:t xml:space="preserve">ed and </w:t>
      </w:r>
      <w:r w:rsidR="00BB6614">
        <w:rPr>
          <w:rFonts w:ascii="Verdana" w:eastAsia="Calibri" w:hAnsi="Verdana" w:cs="Arial"/>
          <w:sz w:val="24"/>
          <w:szCs w:val="24"/>
        </w:rPr>
        <w:t>A</w:t>
      </w:r>
      <w:r>
        <w:rPr>
          <w:rFonts w:ascii="Verdana" w:eastAsia="Calibri" w:hAnsi="Verdana" w:cs="Arial"/>
          <w:sz w:val="24"/>
          <w:szCs w:val="24"/>
        </w:rPr>
        <w:t xml:space="preserve">mber calls are </w:t>
      </w:r>
      <w:r w:rsidR="0011023E">
        <w:rPr>
          <w:rFonts w:ascii="Verdana" w:eastAsia="Calibri" w:hAnsi="Verdana" w:cs="Arial"/>
          <w:sz w:val="24"/>
          <w:szCs w:val="24"/>
        </w:rPr>
        <w:t>increased in quarter 3</w:t>
      </w:r>
      <w:r>
        <w:rPr>
          <w:rFonts w:ascii="Verdana" w:eastAsia="Calibri" w:hAnsi="Verdana" w:cs="Arial"/>
          <w:sz w:val="24"/>
          <w:szCs w:val="24"/>
        </w:rPr>
        <w:t xml:space="preserve"> and waiting times are 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77777777" w:rsidR="00076E9C" w:rsidRPr="00E47A8D" w:rsidRDefault="004A76A4"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2.23</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77777777"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Pr="009E52B7">
        <w:rPr>
          <w:rFonts w:ascii="Verdana" w:eastAsia="Calibri" w:hAnsi="Verdana" w:cs="Arial"/>
          <w:sz w:val="24"/>
          <w:szCs w:val="24"/>
          <w:lang w:val="en-GB"/>
        </w:rPr>
        <w:t>Red demand has increased significantly over the last 2 years. This is a major contributing factor in relation to performance. Comparison of demand in 2020 compared to 2018 shows demand is up by c500 calls per month, which is around a 25% increase.</w:t>
      </w:r>
      <w:r>
        <w:rPr>
          <w:rFonts w:ascii="Verdana" w:eastAsia="Calibri" w:hAnsi="Verdana" w:cs="Arial"/>
          <w:sz w:val="24"/>
          <w:szCs w:val="24"/>
          <w:lang w:val="en-GB"/>
        </w:rPr>
        <w:t xml:space="preserve"> For other categories of calls, demand is now returnin</w:t>
      </w:r>
      <w:r w:rsidR="00AF41B9">
        <w:rPr>
          <w:rFonts w:ascii="Verdana" w:eastAsia="Calibri" w:hAnsi="Verdana" w:cs="Arial"/>
          <w:sz w:val="24"/>
          <w:szCs w:val="24"/>
          <w:lang w:val="en-GB"/>
        </w:rPr>
        <w:t>g to pre-Co</w:t>
      </w:r>
      <w:r>
        <w:rPr>
          <w:rFonts w:ascii="Verdana" w:eastAsia="Calibri" w:hAnsi="Verdana" w:cs="Arial"/>
          <w:sz w:val="24"/>
          <w:szCs w:val="24"/>
          <w:lang w:val="en-GB"/>
        </w:rPr>
        <w:t>VID</w:t>
      </w:r>
      <w:r w:rsidR="00AF41B9">
        <w:rPr>
          <w:rFonts w:ascii="Verdana" w:eastAsia="Calibri" w:hAnsi="Verdana" w:cs="Arial"/>
          <w:sz w:val="24"/>
          <w:szCs w:val="24"/>
          <w:lang w:val="en-GB"/>
        </w:rPr>
        <w:t>-19</w:t>
      </w:r>
      <w:r>
        <w:rPr>
          <w:rFonts w:ascii="Verdana" w:eastAsia="Calibri" w:hAnsi="Verdana" w:cs="Arial"/>
          <w:sz w:val="24"/>
          <w:szCs w:val="24"/>
          <w:lang w:val="en-GB"/>
        </w:rPr>
        <w:t xml:space="preserve"> levels.</w:t>
      </w:r>
    </w:p>
    <w:p w14:paraId="3C85AAFA" w14:textId="77777777" w:rsidR="006143CD" w:rsidRDefault="006143CD" w:rsidP="006143CD">
      <w:pPr>
        <w:spacing w:after="0" w:line="240" w:lineRule="auto"/>
        <w:ind w:left="720"/>
        <w:jc w:val="both"/>
        <w:rPr>
          <w:rFonts w:ascii="Verdana" w:eastAsia="Calibri" w:hAnsi="Verdana" w:cs="Arial"/>
          <w:sz w:val="24"/>
          <w:szCs w:val="24"/>
          <w:lang w:val="en-GB"/>
        </w:rPr>
      </w:pPr>
    </w:p>
    <w:p w14:paraId="6EFD14C1" w14:textId="77777777" w:rsidR="0011023E" w:rsidRDefault="0011023E" w:rsidP="006143CD">
      <w:pPr>
        <w:spacing w:after="0" w:line="240" w:lineRule="auto"/>
        <w:ind w:left="720"/>
        <w:jc w:val="both"/>
        <w:rPr>
          <w:rFonts w:ascii="Verdana" w:eastAsia="Calibri" w:hAnsi="Verdana" w:cs="Arial"/>
          <w:sz w:val="24"/>
          <w:szCs w:val="24"/>
          <w:lang w:val="en-GB"/>
        </w:rPr>
      </w:pPr>
      <w:r>
        <w:rPr>
          <w:noProof/>
          <w:lang w:val="en-GB" w:eastAsia="en-GB"/>
        </w:rPr>
        <w:drawing>
          <wp:inline distT="0" distB="0" distL="0" distR="0" wp14:anchorId="03528C66" wp14:editId="10E0E186">
            <wp:extent cx="5461000" cy="3327400"/>
            <wp:effectExtent l="0" t="0" r="6350" b="6350"/>
            <wp:docPr id="23" name="Chart 2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1F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E122B71" w14:textId="77777777" w:rsidR="0011023E" w:rsidRDefault="0011023E" w:rsidP="006143CD">
      <w:pPr>
        <w:spacing w:after="0" w:line="240" w:lineRule="auto"/>
        <w:ind w:left="720"/>
        <w:jc w:val="both"/>
        <w:rPr>
          <w:rFonts w:ascii="Verdana" w:eastAsia="Calibri" w:hAnsi="Verdana" w:cs="Arial"/>
          <w:sz w:val="24"/>
          <w:szCs w:val="24"/>
          <w:lang w:val="en-GB"/>
        </w:rPr>
      </w:pPr>
    </w:p>
    <w:p w14:paraId="1A198DA8" w14:textId="77777777" w:rsidR="0011023E" w:rsidRDefault="0011023E" w:rsidP="006143CD">
      <w:pPr>
        <w:spacing w:after="0" w:line="240" w:lineRule="auto"/>
        <w:ind w:left="720"/>
        <w:jc w:val="both"/>
        <w:rPr>
          <w:rFonts w:ascii="Verdana" w:eastAsia="Calibri" w:hAnsi="Verdana" w:cs="Arial"/>
          <w:sz w:val="24"/>
          <w:szCs w:val="24"/>
          <w:lang w:val="en-GB"/>
        </w:rPr>
      </w:pPr>
      <w:r>
        <w:rPr>
          <w:noProof/>
          <w:lang w:val="en-GB" w:eastAsia="en-GB"/>
        </w:rPr>
        <w:lastRenderedPageBreak/>
        <w:drawing>
          <wp:inline distT="0" distB="0" distL="0" distR="0" wp14:anchorId="1E389B90" wp14:editId="7CB4B189">
            <wp:extent cx="5461000" cy="3390900"/>
            <wp:effectExtent l="0" t="0" r="6350" b="0"/>
            <wp:docPr id="25" name="Chart 2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15C2665" w14:textId="77777777" w:rsidR="0011023E" w:rsidRDefault="0011023E" w:rsidP="006143CD">
      <w:pPr>
        <w:spacing w:after="0" w:line="240" w:lineRule="auto"/>
        <w:ind w:left="720"/>
        <w:jc w:val="both"/>
        <w:rPr>
          <w:rFonts w:ascii="Verdana" w:eastAsia="Calibri" w:hAnsi="Verdana" w:cs="Arial"/>
          <w:sz w:val="24"/>
          <w:szCs w:val="24"/>
          <w:lang w:val="en-GB"/>
        </w:rPr>
      </w:pPr>
    </w:p>
    <w:p w14:paraId="2739CBA8" w14:textId="365EA484" w:rsidR="001E19A4" w:rsidRPr="0011023E" w:rsidRDefault="001E19A4" w:rsidP="0011023E">
      <w:pPr>
        <w:pStyle w:val="ListParagraph"/>
        <w:numPr>
          <w:ilvl w:val="0"/>
          <w:numId w:val="3"/>
        </w:numPr>
        <w:spacing w:after="0" w:line="240" w:lineRule="auto"/>
        <w:jc w:val="both"/>
        <w:rPr>
          <w:rFonts w:ascii="Verdana" w:eastAsia="Calibri" w:hAnsi="Verdana" w:cs="Arial"/>
          <w:sz w:val="24"/>
          <w:szCs w:val="24"/>
          <w:lang w:val="en-GB"/>
        </w:rPr>
      </w:pPr>
      <w:r w:rsidRPr="00BB6614">
        <w:rPr>
          <w:rFonts w:ascii="Verdana" w:eastAsia="Calibri" w:hAnsi="Verdana" w:cs="Arial"/>
          <w:b/>
          <w:sz w:val="24"/>
          <w:szCs w:val="24"/>
        </w:rPr>
        <w:t xml:space="preserve">The number of </w:t>
      </w:r>
      <w:r w:rsidR="0049517E">
        <w:rPr>
          <w:rFonts w:ascii="Verdana" w:eastAsia="Calibri" w:hAnsi="Verdana" w:cs="Arial"/>
          <w:b/>
          <w:sz w:val="24"/>
          <w:szCs w:val="24"/>
        </w:rPr>
        <w:t>r</w:t>
      </w:r>
      <w:r w:rsidRPr="00BB6614">
        <w:rPr>
          <w:rFonts w:ascii="Verdana" w:eastAsia="Calibri" w:hAnsi="Verdana" w:cs="Arial"/>
          <w:b/>
          <w:sz w:val="24"/>
          <w:szCs w:val="24"/>
        </w:rPr>
        <w:t>esponse hours produced</w:t>
      </w:r>
      <w:r w:rsidRPr="00BB6614">
        <w:rPr>
          <w:rFonts w:ascii="Verdana" w:eastAsia="Calibri" w:hAnsi="Verdana" w:cs="Arial"/>
          <w:sz w:val="24"/>
          <w:szCs w:val="24"/>
        </w:rPr>
        <w:t>:  whilst varying month on month, on average the Trust has produced 112,360 unit hours over the two years (to Jan-21). Over the same period, a further 7,103 hours would have been needed to be produced each month to reach</w:t>
      </w:r>
      <w:r w:rsidR="0011023E">
        <w:rPr>
          <w:rFonts w:ascii="Verdana" w:eastAsia="Calibri" w:hAnsi="Verdana" w:cs="Arial"/>
          <w:sz w:val="24"/>
          <w:szCs w:val="24"/>
        </w:rPr>
        <w:t xml:space="preserve"> 95% unit hours production (U</w:t>
      </w:r>
      <w:r w:rsidR="00AF41B9">
        <w:rPr>
          <w:rFonts w:ascii="Verdana" w:eastAsia="Calibri" w:hAnsi="Verdana" w:cs="Arial"/>
          <w:sz w:val="24"/>
          <w:szCs w:val="24"/>
        </w:rPr>
        <w:t>HP</w:t>
      </w:r>
      <w:r w:rsidR="0011023E">
        <w:rPr>
          <w:rFonts w:ascii="Verdana" w:eastAsia="Calibri" w:hAnsi="Verdana" w:cs="Arial"/>
          <w:sz w:val="24"/>
          <w:szCs w:val="24"/>
        </w:rPr>
        <w:t>)</w:t>
      </w:r>
      <w:r w:rsidR="00AF41B9">
        <w:rPr>
          <w:rFonts w:ascii="Verdana" w:eastAsia="Calibri" w:hAnsi="Verdana" w:cs="Arial"/>
          <w:sz w:val="24"/>
          <w:szCs w:val="24"/>
        </w:rPr>
        <w:t xml:space="preserve"> (the benchmark) for the</w:t>
      </w:r>
      <w:r w:rsidRPr="00BB6614">
        <w:rPr>
          <w:rFonts w:ascii="Verdana" w:eastAsia="Calibri" w:hAnsi="Verdana" w:cs="Arial"/>
          <w:sz w:val="24"/>
          <w:szCs w:val="24"/>
        </w:rPr>
        <w:t xml:space="preserve"> three main ambulance resource types.  In Jan-21 the Trust produced 122,126 hours, significantly above the average.  As the EMS Demand &amp; Capacity Programme takes effect we should expec</w:t>
      </w:r>
      <w:r w:rsidR="00AF41B9">
        <w:rPr>
          <w:rFonts w:ascii="Verdana" w:eastAsia="Calibri" w:hAnsi="Verdana" w:cs="Arial"/>
          <w:sz w:val="24"/>
          <w:szCs w:val="24"/>
        </w:rPr>
        <w:t>t to see the 95% UHP benchmark</w:t>
      </w:r>
      <w:r w:rsidRPr="00BB6614">
        <w:rPr>
          <w:rFonts w:ascii="Verdana" w:eastAsia="Calibri" w:hAnsi="Verdana" w:cs="Arial"/>
          <w:sz w:val="24"/>
          <w:szCs w:val="24"/>
        </w:rPr>
        <w:t xml:space="preserve"> achieved and an uplift in hours produced; however, it is difficult to evaluate the impact of the additional investment during a pandemic period with high abstractions and a focus on protecting conveying resource over R</w:t>
      </w:r>
      <w:r w:rsidR="00AF41B9">
        <w:rPr>
          <w:rFonts w:ascii="Verdana" w:eastAsia="Calibri" w:hAnsi="Verdana" w:cs="Arial"/>
          <w:sz w:val="24"/>
          <w:szCs w:val="24"/>
        </w:rPr>
        <w:t>apid Response Vehicles (R</w:t>
      </w:r>
      <w:r w:rsidRPr="00BB6614">
        <w:rPr>
          <w:rFonts w:ascii="Verdana" w:eastAsia="Calibri" w:hAnsi="Verdana" w:cs="Arial"/>
          <w:sz w:val="24"/>
          <w:szCs w:val="24"/>
        </w:rPr>
        <w:t>RVs</w:t>
      </w:r>
      <w:r w:rsidR="00AF41B9">
        <w:rPr>
          <w:rFonts w:ascii="Verdana" w:eastAsia="Calibri" w:hAnsi="Verdana" w:cs="Arial"/>
          <w:sz w:val="24"/>
          <w:szCs w:val="24"/>
        </w:rPr>
        <w:t>)</w:t>
      </w:r>
      <w:r w:rsidRPr="00BB6614">
        <w:rPr>
          <w:rFonts w:ascii="Verdana" w:eastAsia="Calibri" w:hAnsi="Verdana" w:cs="Arial"/>
          <w:sz w:val="24"/>
          <w:szCs w:val="24"/>
        </w:rPr>
        <w:t>, the support of the Fire &amp; Rescue Services</w:t>
      </w:r>
      <w:r w:rsidR="00AF41B9">
        <w:rPr>
          <w:rFonts w:ascii="Verdana" w:eastAsia="Calibri" w:hAnsi="Verdana" w:cs="Arial"/>
          <w:sz w:val="24"/>
          <w:szCs w:val="24"/>
        </w:rPr>
        <w:t xml:space="preserve"> (FRS) and the military (in Jan-21 WAST</w:t>
      </w:r>
      <w:r w:rsidRPr="00BB6614">
        <w:rPr>
          <w:rFonts w:ascii="Verdana" w:eastAsia="Calibri" w:hAnsi="Verdana" w:cs="Arial"/>
          <w:sz w:val="24"/>
          <w:szCs w:val="24"/>
        </w:rPr>
        <w:t xml:space="preserve"> received 5,487 unit hours from FRS and the military and 1,956 unit hours from St John Ambulance</w:t>
      </w:r>
      <w:r w:rsidR="0049517E">
        <w:rPr>
          <w:rFonts w:ascii="Verdana" w:eastAsia="Calibri" w:hAnsi="Verdana" w:cs="Arial"/>
          <w:sz w:val="24"/>
          <w:szCs w:val="24"/>
        </w:rPr>
        <w:t xml:space="preserve"> Cymru</w:t>
      </w:r>
      <w:r w:rsidRPr="00BB6614">
        <w:rPr>
          <w:rFonts w:ascii="Verdana" w:eastAsia="Calibri" w:hAnsi="Verdana" w:cs="Arial"/>
          <w:sz w:val="24"/>
          <w:szCs w:val="24"/>
        </w:rPr>
        <w:t xml:space="preserve">).  </w:t>
      </w:r>
    </w:p>
    <w:p w14:paraId="6F46B323" w14:textId="77777777" w:rsidR="0011023E" w:rsidRDefault="0011023E" w:rsidP="0011023E">
      <w:pPr>
        <w:pStyle w:val="ListParagraph"/>
        <w:spacing w:after="0" w:line="240" w:lineRule="auto"/>
        <w:ind w:left="1080"/>
        <w:jc w:val="both"/>
        <w:rPr>
          <w:rFonts w:ascii="Verdana" w:eastAsia="Calibri" w:hAnsi="Verdana" w:cs="Arial"/>
          <w:b/>
          <w:sz w:val="24"/>
          <w:szCs w:val="24"/>
        </w:rPr>
      </w:pPr>
    </w:p>
    <w:p w14:paraId="06532E05" w14:textId="77777777" w:rsidR="0011023E" w:rsidRDefault="0011023E" w:rsidP="0011023E">
      <w:pPr>
        <w:pStyle w:val="ListParagraph"/>
        <w:spacing w:after="0" w:line="240" w:lineRule="auto"/>
        <w:ind w:left="1080" w:hanging="371"/>
        <w:jc w:val="both"/>
        <w:rPr>
          <w:rFonts w:ascii="Verdana" w:eastAsia="Calibri" w:hAnsi="Verdana" w:cs="Arial"/>
          <w:b/>
          <w:sz w:val="24"/>
          <w:szCs w:val="24"/>
        </w:rPr>
      </w:pPr>
      <w:r>
        <w:rPr>
          <w:noProof/>
          <w:lang w:val="en-GB" w:eastAsia="en-GB"/>
        </w:rPr>
        <w:lastRenderedPageBreak/>
        <w:drawing>
          <wp:inline distT="0" distB="0" distL="0" distR="0" wp14:anchorId="3B0BC6E3" wp14:editId="4DD9BE84">
            <wp:extent cx="5943600" cy="3614420"/>
            <wp:effectExtent l="0" t="0" r="0" b="5080"/>
            <wp:docPr id="8"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e="http://schemas.microsoft.com/office/word/2015/wordml/symex" xmlns:a16="http://schemas.microsoft.com/office/drawing/2014/main" id="{00000000-0008-0000-1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019234C" w14:textId="77777777" w:rsidR="0011023E" w:rsidRDefault="0011023E" w:rsidP="0011023E">
      <w:pPr>
        <w:pStyle w:val="ListParagraph"/>
        <w:spacing w:after="0" w:line="240" w:lineRule="auto"/>
        <w:ind w:left="1080"/>
        <w:jc w:val="both"/>
        <w:rPr>
          <w:rFonts w:ascii="Verdana" w:eastAsia="Calibri" w:hAnsi="Verdana" w:cs="Arial"/>
          <w:b/>
          <w:sz w:val="24"/>
          <w:szCs w:val="24"/>
        </w:rPr>
      </w:pPr>
    </w:p>
    <w:p w14:paraId="1F6BFE44" w14:textId="77777777" w:rsidR="001E19A4" w:rsidRPr="00BB6614" w:rsidRDefault="001E19A4" w:rsidP="001E19A4">
      <w:pPr>
        <w:pStyle w:val="ListParagraph"/>
        <w:numPr>
          <w:ilvl w:val="0"/>
          <w:numId w:val="3"/>
        </w:numPr>
        <w:spacing w:after="0" w:line="240" w:lineRule="auto"/>
        <w:jc w:val="both"/>
        <w:rPr>
          <w:rFonts w:ascii="Verdana" w:eastAsia="Calibri" w:hAnsi="Verdana" w:cs="Arial"/>
          <w:sz w:val="24"/>
          <w:szCs w:val="24"/>
        </w:rPr>
      </w:pPr>
      <w:r w:rsidRPr="00BB6614">
        <w:rPr>
          <w:rFonts w:ascii="Verdana" w:eastAsia="Calibri" w:hAnsi="Verdana" w:cs="Arial"/>
          <w:b/>
          <w:sz w:val="24"/>
          <w:szCs w:val="24"/>
        </w:rPr>
        <w:t>The number of hours lost each month due to hospital handover delays</w:t>
      </w:r>
      <w:r w:rsidRPr="00BB6614">
        <w:rPr>
          <w:rFonts w:ascii="Verdana" w:eastAsia="Calibri" w:hAnsi="Verdana" w:cs="Arial"/>
          <w:sz w:val="24"/>
          <w:szCs w:val="24"/>
        </w:rPr>
        <w:t>. The EMS Demand &amp; Capacity Programme benchmark is the 18/19 levels (worst in class and a</w:t>
      </w:r>
      <w:r w:rsidR="00AF41B9">
        <w:rPr>
          <w:rFonts w:ascii="Verdana" w:eastAsia="Calibri" w:hAnsi="Verdana" w:cs="Arial"/>
          <w:sz w:val="24"/>
          <w:szCs w:val="24"/>
        </w:rPr>
        <w:t>n international outlier).  8,416</w:t>
      </w:r>
      <w:r w:rsidRPr="00BB6614">
        <w:rPr>
          <w:rFonts w:ascii="Verdana" w:eastAsia="Calibri" w:hAnsi="Verdana" w:cs="Arial"/>
          <w:sz w:val="24"/>
          <w:szCs w:val="24"/>
        </w:rPr>
        <w:t xml:space="preserve"> hours were lo</w:t>
      </w:r>
      <w:r w:rsidR="00AF41B9">
        <w:rPr>
          <w:rFonts w:ascii="Verdana" w:eastAsia="Calibri" w:hAnsi="Verdana" w:cs="Arial"/>
          <w:sz w:val="24"/>
          <w:szCs w:val="24"/>
        </w:rPr>
        <w:t>st in Jan-21, compared to 7,325</w:t>
      </w:r>
      <w:r w:rsidRPr="00BB6614">
        <w:rPr>
          <w:rFonts w:ascii="Verdana" w:eastAsia="Calibri" w:hAnsi="Verdana" w:cs="Arial"/>
          <w:sz w:val="24"/>
          <w:szCs w:val="24"/>
        </w:rPr>
        <w:t xml:space="preserve"> in Jan-19</w:t>
      </w:r>
      <w:r w:rsidR="0011023E">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43E591D8" w14:textId="77777777" w:rsidR="001E19A4" w:rsidRPr="00BB6614" w:rsidRDefault="001E19A4" w:rsidP="001E19A4">
      <w:pPr>
        <w:pStyle w:val="ListParagraph"/>
        <w:numPr>
          <w:ilvl w:val="0"/>
          <w:numId w:val="3"/>
        </w:numPr>
        <w:spacing w:after="0" w:line="240" w:lineRule="auto"/>
        <w:rPr>
          <w:rFonts w:ascii="Verdana" w:eastAsia="Calibri" w:hAnsi="Verdana" w:cs="Arial"/>
          <w:sz w:val="24"/>
          <w:szCs w:val="24"/>
        </w:rPr>
      </w:pPr>
      <w:r w:rsidRPr="00BB6614">
        <w:rPr>
          <w:rFonts w:ascii="Verdana" w:eastAsia="Calibri" w:hAnsi="Verdana" w:cs="Arial"/>
          <w:sz w:val="24"/>
          <w:szCs w:val="24"/>
        </w:rPr>
        <w:t>Specific factors affecting Red performance:</w:t>
      </w:r>
    </w:p>
    <w:p w14:paraId="5918E468" w14:textId="77777777" w:rsidR="001E19A4" w:rsidRPr="00BB6614" w:rsidRDefault="001E19A4" w:rsidP="001E19A4">
      <w:pPr>
        <w:pStyle w:val="ListParagraph"/>
        <w:numPr>
          <w:ilvl w:val="1"/>
          <w:numId w:val="3"/>
        </w:numPr>
        <w:spacing w:after="0" w:line="240" w:lineRule="auto"/>
        <w:jc w:val="both"/>
        <w:rPr>
          <w:rFonts w:ascii="Verdana" w:eastAsia="Calibri" w:hAnsi="Verdana" w:cs="Arial"/>
          <w:sz w:val="24"/>
          <w:szCs w:val="24"/>
        </w:rPr>
      </w:pPr>
      <w:r w:rsidRPr="00BB6614">
        <w:rPr>
          <w:rFonts w:ascii="Verdana" w:eastAsia="Calibri" w:hAnsi="Verdana" w:cs="Arial"/>
          <w:sz w:val="24"/>
          <w:szCs w:val="24"/>
        </w:rPr>
        <w:t xml:space="preserve">As a result of the pandemic staff are required to don </w:t>
      </w:r>
      <w:r w:rsidRPr="00BB6614">
        <w:rPr>
          <w:rFonts w:ascii="Verdana" w:eastAsia="Calibri" w:hAnsi="Verdana" w:cs="Arial"/>
          <w:b/>
          <w:sz w:val="24"/>
          <w:szCs w:val="24"/>
        </w:rPr>
        <w:t>level 3 PPE</w:t>
      </w:r>
      <w:r w:rsidRPr="00BB6614">
        <w:rPr>
          <w:rFonts w:ascii="Verdana" w:eastAsia="Calibri" w:hAnsi="Verdana" w:cs="Arial"/>
          <w:sz w:val="24"/>
          <w:szCs w:val="24"/>
        </w:rPr>
        <w:t xml:space="preserve"> for all Red calls which is taking between 3-6 minutes based on a number of timed audits. This is a significant factor when trying to achieve an 8 minute target. </w:t>
      </w:r>
    </w:p>
    <w:p w14:paraId="2AFF5AED" w14:textId="77777777" w:rsidR="001E19A4" w:rsidRPr="00BB6614" w:rsidRDefault="001E19A4" w:rsidP="0049517E">
      <w:pPr>
        <w:pStyle w:val="ListParagraph"/>
        <w:numPr>
          <w:ilvl w:val="1"/>
          <w:numId w:val="3"/>
        </w:numPr>
        <w:spacing w:after="0" w:line="240" w:lineRule="auto"/>
        <w:jc w:val="both"/>
        <w:rPr>
          <w:rFonts w:ascii="Verdana" w:eastAsia="Calibri" w:hAnsi="Verdana" w:cs="Arial"/>
          <w:sz w:val="24"/>
          <w:szCs w:val="24"/>
        </w:rPr>
      </w:pPr>
      <w:r w:rsidRPr="00BB6614">
        <w:rPr>
          <w:rFonts w:ascii="Verdana" w:eastAsia="Calibri" w:hAnsi="Verdana" w:cs="Arial"/>
          <w:sz w:val="24"/>
          <w:szCs w:val="24"/>
        </w:rPr>
        <w:t>During the pandemic, Emergency Ambulance (EA) production has been prioritised over RRV production, in order to protect conveying resource; and</w:t>
      </w:r>
    </w:p>
    <w:p w14:paraId="214FF437" w14:textId="77777777" w:rsidR="001E19A4" w:rsidRPr="00BB6614" w:rsidRDefault="001E19A4" w:rsidP="001E19A4">
      <w:pPr>
        <w:pStyle w:val="ListParagraph"/>
        <w:numPr>
          <w:ilvl w:val="1"/>
          <w:numId w:val="3"/>
        </w:numPr>
        <w:spacing w:after="0" w:line="240" w:lineRule="auto"/>
        <w:jc w:val="both"/>
        <w:rPr>
          <w:rFonts w:ascii="Verdana" w:hAnsi="Verdana" w:cs="Arial"/>
          <w:sz w:val="24"/>
          <w:szCs w:val="24"/>
        </w:rPr>
      </w:pPr>
      <w:r w:rsidRPr="00BB6614">
        <w:rPr>
          <w:rFonts w:ascii="Verdana" w:hAnsi="Verdana" w:cs="Arial"/>
          <w:sz w:val="24"/>
          <w:szCs w:val="24"/>
        </w:rPr>
        <w:t>Community First Responders (CFRs) were not deployed at the start of the pandemic due to a need for Level 3 (L3) PPE training, for example the CFR contribution to Red performance was only 2.44% in Apr-20, but has now recovered to 4.18% in Jan-21, compared to 4.63% in Jan-20. This improvement is due to the roll out of training and PPE kit to CFRs which is 95% complete.</w:t>
      </w:r>
    </w:p>
    <w:p w14:paraId="1358ABB7" w14:textId="77777777" w:rsidR="009E52B7" w:rsidRPr="00AF41B9" w:rsidRDefault="009E52B7" w:rsidP="009E52B7">
      <w:pPr>
        <w:pStyle w:val="ListParagraph"/>
        <w:spacing w:after="0" w:line="240" w:lineRule="auto"/>
        <w:rPr>
          <w:rFonts w:ascii="Verdana" w:hAnsi="Verdana" w:cs="Arial"/>
          <w:sz w:val="24"/>
          <w:szCs w:val="24"/>
        </w:rPr>
      </w:pPr>
    </w:p>
    <w:p w14:paraId="4BC034C4" w14:textId="67DA2EBF" w:rsidR="00093703" w:rsidRPr="0011023E" w:rsidRDefault="0011023E" w:rsidP="0011023E">
      <w:pPr>
        <w:spacing w:before="100" w:after="240" w:line="240" w:lineRule="auto"/>
        <w:ind w:left="709" w:hanging="709"/>
        <w:jc w:val="both"/>
        <w:rPr>
          <w:rFonts w:ascii="Verdana" w:eastAsia="Calibri" w:hAnsi="Verdana" w:cs="Arial"/>
        </w:rPr>
      </w:pPr>
      <w:r>
        <w:rPr>
          <w:rFonts w:ascii="Verdana" w:eastAsia="Calibri" w:hAnsi="Verdana" w:cs="Arial"/>
          <w:sz w:val="24"/>
          <w:szCs w:val="24"/>
        </w:rPr>
        <w:lastRenderedPageBreak/>
        <w:t>2.24</w:t>
      </w:r>
      <w:r>
        <w:rPr>
          <w:rFonts w:ascii="Verdana" w:eastAsia="Calibri" w:hAnsi="Verdana" w:cs="Arial"/>
          <w:sz w:val="24"/>
          <w:szCs w:val="24"/>
        </w:rPr>
        <w:tab/>
      </w:r>
      <w:r w:rsidR="00AF41B9" w:rsidRPr="00210BD1">
        <w:rPr>
          <w:rFonts w:ascii="Verdana" w:eastAsia="Calibri" w:hAnsi="Verdana" w:cs="Arial"/>
          <w:b/>
          <w:sz w:val="24"/>
          <w:szCs w:val="24"/>
        </w:rPr>
        <w:t>WAST is also engaged in a number of programmes across the unscheduled care s</w:t>
      </w:r>
      <w:r w:rsidR="001E19A4" w:rsidRPr="00210BD1">
        <w:rPr>
          <w:rFonts w:ascii="Verdana" w:eastAsia="Calibri" w:hAnsi="Verdana" w:cs="Arial"/>
          <w:b/>
          <w:sz w:val="24"/>
          <w:szCs w:val="24"/>
        </w:rPr>
        <w:t>ystem which are designed to shift left including</w:t>
      </w:r>
      <w:r w:rsidR="001E19A4" w:rsidRPr="0011023E">
        <w:rPr>
          <w:rFonts w:ascii="Verdana" w:eastAsia="Calibri" w:hAnsi="Verdana" w:cs="Arial"/>
          <w:sz w:val="24"/>
          <w:szCs w:val="24"/>
        </w:rPr>
        <w:t>: the National Respiratory Work Programme, Contact First, C</w:t>
      </w:r>
      <w:r w:rsidR="00AF41B9" w:rsidRPr="0011023E">
        <w:rPr>
          <w:rFonts w:ascii="Verdana" w:eastAsia="Calibri" w:hAnsi="Verdana" w:cs="Arial"/>
          <w:sz w:val="24"/>
          <w:szCs w:val="24"/>
        </w:rPr>
        <w:t xml:space="preserve">onsultant Connect and WAST </w:t>
      </w:r>
      <w:r w:rsidR="001A4358">
        <w:rPr>
          <w:rFonts w:ascii="Verdana" w:eastAsia="Calibri" w:hAnsi="Verdana" w:cs="Arial"/>
          <w:sz w:val="24"/>
          <w:szCs w:val="24"/>
        </w:rPr>
        <w:t>is currently in the process of refining a proposal for</w:t>
      </w:r>
      <w:r w:rsidR="001E19A4" w:rsidRPr="0011023E">
        <w:rPr>
          <w:rFonts w:ascii="Verdana" w:eastAsia="Calibri" w:hAnsi="Verdana" w:cs="Arial"/>
          <w:sz w:val="24"/>
          <w:szCs w:val="24"/>
        </w:rPr>
        <w:t xml:space="preserve"> EASC and W</w:t>
      </w:r>
      <w:r>
        <w:rPr>
          <w:rFonts w:ascii="Verdana" w:eastAsia="Calibri" w:hAnsi="Verdana" w:cs="Arial"/>
          <w:sz w:val="24"/>
          <w:szCs w:val="24"/>
        </w:rPr>
        <w:t xml:space="preserve">elsh Government </w:t>
      </w:r>
      <w:r w:rsidR="001A4358">
        <w:rPr>
          <w:rFonts w:ascii="Verdana" w:eastAsia="Calibri" w:hAnsi="Verdana" w:cs="Arial"/>
          <w:sz w:val="24"/>
          <w:szCs w:val="24"/>
        </w:rPr>
        <w:t>on</w:t>
      </w:r>
      <w:r>
        <w:rPr>
          <w:rFonts w:ascii="Verdana" w:eastAsia="Calibri" w:hAnsi="Verdana" w:cs="Arial"/>
          <w:sz w:val="24"/>
          <w:szCs w:val="24"/>
        </w:rPr>
        <w:t xml:space="preserve"> expand</w:t>
      </w:r>
      <w:r w:rsidR="001A4358">
        <w:rPr>
          <w:rFonts w:ascii="Verdana" w:eastAsia="Calibri" w:hAnsi="Verdana" w:cs="Arial"/>
          <w:sz w:val="24"/>
          <w:szCs w:val="24"/>
        </w:rPr>
        <w:t>ing</w:t>
      </w:r>
      <w:r>
        <w:rPr>
          <w:rFonts w:ascii="Verdana" w:eastAsia="Calibri" w:hAnsi="Verdana" w:cs="Arial"/>
          <w:sz w:val="24"/>
          <w:szCs w:val="24"/>
        </w:rPr>
        <w:t xml:space="preserve"> the Clinical Support Desk (C</w:t>
      </w:r>
      <w:r w:rsidR="001E19A4" w:rsidRPr="0011023E">
        <w:rPr>
          <w:rFonts w:ascii="Verdana" w:eastAsia="Calibri" w:hAnsi="Verdana" w:cs="Arial"/>
          <w:sz w:val="24"/>
          <w:szCs w:val="24"/>
        </w:rPr>
        <w:t>SD</w:t>
      </w:r>
      <w:r>
        <w:rPr>
          <w:rFonts w:ascii="Verdana" w:eastAsia="Calibri" w:hAnsi="Verdana" w:cs="Arial"/>
          <w:sz w:val="24"/>
          <w:szCs w:val="24"/>
        </w:rPr>
        <w:t>)</w:t>
      </w:r>
      <w:r w:rsidR="001E19A4" w:rsidRPr="0011023E">
        <w:rPr>
          <w:rFonts w:ascii="Verdana" w:eastAsia="Calibri" w:hAnsi="Verdana" w:cs="Arial"/>
          <w:sz w:val="24"/>
          <w:szCs w:val="24"/>
        </w:rPr>
        <w:t xml:space="preserve"> </w:t>
      </w:r>
      <w:r w:rsidR="001A4358">
        <w:rPr>
          <w:rFonts w:ascii="Verdana" w:eastAsia="Calibri" w:hAnsi="Verdana" w:cs="Arial"/>
          <w:sz w:val="24"/>
          <w:szCs w:val="24"/>
        </w:rPr>
        <w:t xml:space="preserve">/ 111 </w:t>
      </w:r>
      <w:r w:rsidR="001E19A4" w:rsidRPr="0011023E">
        <w:rPr>
          <w:rFonts w:ascii="Verdana" w:eastAsia="Calibri" w:hAnsi="Verdana" w:cs="Arial"/>
          <w:sz w:val="24"/>
          <w:szCs w:val="24"/>
        </w:rPr>
        <w:t>capacity to supp</w:t>
      </w:r>
      <w:r w:rsidR="00AF41B9" w:rsidRPr="0011023E">
        <w:rPr>
          <w:rFonts w:ascii="Verdana" w:eastAsia="Calibri" w:hAnsi="Verdana" w:cs="Arial"/>
          <w:sz w:val="24"/>
          <w:szCs w:val="24"/>
        </w:rPr>
        <w:t xml:space="preserve">ort psychiatric calls. </w:t>
      </w:r>
      <w:r w:rsidR="001E19A4" w:rsidRPr="0011023E">
        <w:rPr>
          <w:rFonts w:ascii="Verdana" w:eastAsia="Calibri" w:hAnsi="Verdana" w:cs="Arial"/>
          <w:sz w:val="24"/>
          <w:szCs w:val="24"/>
        </w:rPr>
        <w:t>Contact First went live in AB on 15 Dec-20</w:t>
      </w:r>
      <w:r w:rsidR="00AF41B9" w:rsidRPr="0011023E">
        <w:rPr>
          <w:rFonts w:ascii="Verdana" w:eastAsia="Calibri" w:hAnsi="Verdana" w:cs="Arial"/>
          <w:sz w:val="24"/>
          <w:szCs w:val="24"/>
        </w:rPr>
        <w:t xml:space="preserve"> and Swansea Bay on </w:t>
      </w:r>
      <w:r w:rsidR="001A4358">
        <w:rPr>
          <w:rFonts w:ascii="Verdana" w:eastAsia="Calibri" w:hAnsi="Verdana" w:cs="Arial"/>
          <w:sz w:val="24"/>
          <w:szCs w:val="24"/>
        </w:rPr>
        <w:t xml:space="preserve">23 </w:t>
      </w:r>
      <w:r w:rsidR="00AF41B9" w:rsidRPr="0011023E">
        <w:rPr>
          <w:rFonts w:ascii="Verdana" w:eastAsia="Calibri" w:hAnsi="Verdana" w:cs="Arial"/>
          <w:sz w:val="24"/>
          <w:szCs w:val="24"/>
        </w:rPr>
        <w:t>Feb-21</w:t>
      </w:r>
      <w:r w:rsidR="001E19A4" w:rsidRPr="0011023E">
        <w:rPr>
          <w:rFonts w:ascii="Verdana" w:eastAsia="Calibri" w:hAnsi="Verdana" w:cs="Arial"/>
          <w:sz w:val="24"/>
          <w:szCs w:val="24"/>
        </w:rPr>
        <w:t xml:space="preserve"> with early information on its impact on ED demand being positive.</w:t>
      </w:r>
      <w:r w:rsidR="00AF41B9" w:rsidRPr="0011023E">
        <w:rPr>
          <w:rFonts w:ascii="Verdana" w:eastAsia="Calibri" w:hAnsi="Verdana" w:cs="Arial"/>
          <w:sz w:val="24"/>
          <w:szCs w:val="24"/>
        </w:rPr>
        <w:t xml:space="preserve">  </w:t>
      </w:r>
      <w:r w:rsidR="001E19A4" w:rsidRPr="0011023E">
        <w:rPr>
          <w:rFonts w:ascii="Verdana" w:eastAsia="Calibri" w:hAnsi="Verdana" w:cs="Arial"/>
          <w:sz w:val="24"/>
          <w:szCs w:val="24"/>
        </w:rPr>
        <w:t>Work is ongoing to launch the service in</w:t>
      </w:r>
      <w:r w:rsidR="00AF41B9" w:rsidRPr="0011023E">
        <w:rPr>
          <w:rFonts w:ascii="Verdana" w:eastAsia="Calibri" w:hAnsi="Verdana" w:cs="Arial"/>
          <w:sz w:val="24"/>
          <w:szCs w:val="24"/>
        </w:rPr>
        <w:t xml:space="preserve"> </w:t>
      </w:r>
      <w:r w:rsidR="001E19A4" w:rsidRPr="0011023E">
        <w:rPr>
          <w:rFonts w:ascii="Verdana" w:eastAsia="Calibri" w:hAnsi="Verdana" w:cs="Arial"/>
          <w:sz w:val="24"/>
          <w:szCs w:val="24"/>
        </w:rPr>
        <w:t xml:space="preserve">Cwm Taf Morgannwg in Mar-20 and Hywel Dda in Apr-20. Aligned to this, preparations are ongoing to launch the full service in each of these Health Boards throughout the end of Q4 and into Q1 of 2021/22.  </w:t>
      </w:r>
      <w:r w:rsidR="001E19A4" w:rsidRPr="00210BD1">
        <w:rPr>
          <w:rFonts w:ascii="Verdana" w:eastAsia="Calibri" w:hAnsi="Verdana" w:cs="Arial"/>
          <w:sz w:val="24"/>
          <w:szCs w:val="24"/>
        </w:rPr>
        <w:t>Hear &amp; Treat performance declined in Jan-21</w:t>
      </w:r>
      <w:r w:rsidR="001E19A4" w:rsidRPr="00210BD1">
        <w:rPr>
          <w:rFonts w:ascii="Verdana" w:eastAsia="Calibri" w:hAnsi="Verdana" w:cs="Arial"/>
          <w:bCs/>
          <w:sz w:val="24"/>
          <w:szCs w:val="24"/>
        </w:rPr>
        <w:t>,</w:t>
      </w:r>
      <w:r w:rsidR="001E19A4" w:rsidRPr="0011023E">
        <w:rPr>
          <w:rFonts w:ascii="Verdana" w:eastAsia="Calibri" w:hAnsi="Verdana" w:cs="Arial"/>
          <w:sz w:val="24"/>
          <w:szCs w:val="24"/>
        </w:rPr>
        <w:t xml:space="preserve"> compared with performance in recent months. The CSD and NHSDW (Hear &amp; Treat) achieved a combined rate of 10.0% in Jan-21 and 12.1% performance in Dec-20.  The EMS Demand &amp; Capacity Review identified a benchmark of 10.2% (modelled to be achieved by Dec-21). </w:t>
      </w:r>
    </w:p>
    <w:p w14:paraId="27B52044" w14:textId="23B33A31" w:rsidR="004A76A4" w:rsidRPr="00641409" w:rsidRDefault="00210BD1" w:rsidP="00641409">
      <w:pPr>
        <w:spacing w:after="0" w:line="240" w:lineRule="auto"/>
        <w:ind w:left="720" w:hanging="720"/>
        <w:jc w:val="both"/>
        <w:rPr>
          <w:rFonts w:ascii="Verdana" w:eastAsia="Calibri" w:hAnsi="Verdana" w:cs="Arial"/>
          <w:sz w:val="24"/>
          <w:szCs w:val="24"/>
          <w:lang w:val="en-GB"/>
        </w:rPr>
      </w:pPr>
      <w:r>
        <w:rPr>
          <w:rFonts w:ascii="Verdana" w:eastAsia="Calibri" w:hAnsi="Verdana" w:cs="Arial"/>
          <w:sz w:val="24"/>
          <w:szCs w:val="24"/>
          <w:lang w:val="en-GB"/>
        </w:rPr>
        <w:t>2.25</w:t>
      </w:r>
      <w:r>
        <w:rPr>
          <w:rFonts w:ascii="Verdana" w:eastAsia="Calibri" w:hAnsi="Verdana" w:cs="Arial"/>
          <w:sz w:val="24"/>
          <w:szCs w:val="24"/>
          <w:lang w:val="en-GB"/>
        </w:rPr>
        <w:tab/>
      </w:r>
      <w:r w:rsidR="0049517E">
        <w:rPr>
          <w:rFonts w:ascii="Verdana" w:eastAsia="Calibri" w:hAnsi="Verdana" w:cs="Arial"/>
          <w:sz w:val="24"/>
          <w:szCs w:val="24"/>
          <w:lang w:val="en-GB"/>
        </w:rPr>
        <w:t>As shown in WAST</w:t>
      </w:r>
      <w:r w:rsidR="00093703">
        <w:rPr>
          <w:rFonts w:ascii="Verdana" w:eastAsia="Calibri" w:hAnsi="Verdana" w:cs="Arial"/>
          <w:sz w:val="24"/>
          <w:szCs w:val="24"/>
          <w:lang w:val="en-GB"/>
        </w:rPr>
        <w:t xml:space="preserve">s Winter Plan forecasting and </w:t>
      </w:r>
      <w:r w:rsidR="004A76A4" w:rsidRPr="00641409">
        <w:rPr>
          <w:rFonts w:ascii="Verdana" w:eastAsia="Calibri" w:hAnsi="Verdana" w:cs="Arial"/>
          <w:sz w:val="24"/>
          <w:szCs w:val="24"/>
          <w:lang w:val="en-GB"/>
        </w:rPr>
        <w:t>modelling</w:t>
      </w:r>
      <w:r w:rsidR="00093703">
        <w:rPr>
          <w:rFonts w:ascii="Verdana" w:eastAsia="Calibri" w:hAnsi="Verdana" w:cs="Arial"/>
          <w:sz w:val="24"/>
          <w:szCs w:val="24"/>
          <w:lang w:val="en-GB"/>
        </w:rPr>
        <w:t>, which was shared by WAST with health boards in Oct-20</w:t>
      </w:r>
      <w:r w:rsidR="004A76A4" w:rsidRPr="00641409">
        <w:rPr>
          <w:rFonts w:ascii="Verdana" w:eastAsia="Calibri" w:hAnsi="Verdana" w:cs="Arial"/>
          <w:sz w:val="24"/>
          <w:szCs w:val="24"/>
          <w:lang w:val="en-GB"/>
        </w:rPr>
        <w:t>, if mitigating actions agreed / funded are not sufficient, the</w:t>
      </w:r>
      <w:r w:rsidR="00093703">
        <w:rPr>
          <w:rFonts w:ascii="Verdana" w:eastAsia="Calibri" w:hAnsi="Verdana" w:cs="Arial"/>
          <w:sz w:val="24"/>
          <w:szCs w:val="24"/>
          <w:lang w:val="en-GB"/>
        </w:rPr>
        <w:t xml:space="preserve"> WAST </w:t>
      </w:r>
      <w:r w:rsidR="004A76A4" w:rsidRPr="00641409">
        <w:rPr>
          <w:rFonts w:ascii="Verdana" w:eastAsia="Calibri" w:hAnsi="Verdana" w:cs="Arial"/>
          <w:b/>
          <w:sz w:val="24"/>
          <w:szCs w:val="24"/>
          <w:lang w:val="en-GB"/>
        </w:rPr>
        <w:t xml:space="preserve">demand management plan </w:t>
      </w:r>
      <w:r w:rsidR="004A76A4" w:rsidRPr="00641409">
        <w:rPr>
          <w:rFonts w:ascii="Verdana" w:eastAsia="Calibri" w:hAnsi="Verdana" w:cs="Arial"/>
          <w:sz w:val="24"/>
          <w:szCs w:val="24"/>
          <w:lang w:val="en-GB"/>
        </w:rPr>
        <w:t xml:space="preserve">(DMP) </w:t>
      </w:r>
      <w:r w:rsidR="00093703">
        <w:rPr>
          <w:rFonts w:ascii="Verdana" w:eastAsia="Calibri" w:hAnsi="Verdana" w:cs="Arial"/>
          <w:sz w:val="24"/>
          <w:szCs w:val="24"/>
          <w:lang w:val="en-GB"/>
        </w:rPr>
        <w:t xml:space="preserve">will be enacted.  The use of the DMP is now reported each month to the CASC </w:t>
      </w:r>
      <w:r w:rsidR="0049517E">
        <w:rPr>
          <w:rFonts w:ascii="Verdana" w:eastAsia="Calibri" w:hAnsi="Verdana" w:cs="Arial"/>
          <w:sz w:val="24"/>
          <w:szCs w:val="24"/>
          <w:lang w:val="en-GB"/>
        </w:rPr>
        <w:t xml:space="preserve">Quality and Delivery </w:t>
      </w:r>
      <w:r w:rsidR="00093703">
        <w:rPr>
          <w:rFonts w:ascii="Verdana" w:eastAsia="Calibri" w:hAnsi="Verdana" w:cs="Arial"/>
          <w:sz w:val="24"/>
          <w:szCs w:val="24"/>
          <w:lang w:val="en-GB"/>
        </w:rPr>
        <w:t>meeting, WAST provided a detailed presentation to 18 Dec-20 EASC Management Group on the use of the DMP, which moves through a set of action cards (based on agree</w:t>
      </w:r>
      <w:r>
        <w:rPr>
          <w:rFonts w:ascii="Verdana" w:eastAsia="Calibri" w:hAnsi="Verdana" w:cs="Arial"/>
          <w:sz w:val="24"/>
          <w:szCs w:val="24"/>
          <w:lang w:val="en-GB"/>
        </w:rPr>
        <w:t>d triggers</w:t>
      </w:r>
      <w:r w:rsidR="00093703">
        <w:rPr>
          <w:rFonts w:ascii="Verdana" w:eastAsia="Calibri" w:hAnsi="Verdana" w:cs="Arial"/>
          <w:sz w:val="24"/>
          <w:szCs w:val="24"/>
          <w:lang w:val="en-GB"/>
        </w:rPr>
        <w:t>) with an increasing focus on patients most at risk during high periods of demand.</w:t>
      </w:r>
    </w:p>
    <w:p w14:paraId="6AA39B1B" w14:textId="77777777" w:rsidR="00076E9C" w:rsidRPr="00E47A8D" w:rsidRDefault="0079045E" w:rsidP="0079045E">
      <w:pPr>
        <w:spacing w:after="0" w:line="240" w:lineRule="auto"/>
        <w:ind w:left="709" w:hanging="709"/>
        <w:jc w:val="both"/>
        <w:rPr>
          <w:rFonts w:ascii="Verdana" w:eastAsia="Calibri" w:hAnsi="Verdana" w:cs="Arial"/>
          <w:sz w:val="24"/>
          <w:szCs w:val="24"/>
        </w:rPr>
      </w:pPr>
      <w:r w:rsidRPr="0079045E">
        <w:rPr>
          <w:rFonts w:ascii="Verdana" w:eastAsia="Calibri" w:hAnsi="Verdana" w:cs="Arial"/>
          <w:sz w:val="24"/>
          <w:szCs w:val="24"/>
        </w:rPr>
        <w:tab/>
      </w:r>
      <w:r w:rsidR="00076E9C" w:rsidRPr="00E47A8D">
        <w:rPr>
          <w:rFonts w:ascii="Verdana" w:eastAsia="Calibri" w:hAnsi="Verdana" w:cs="Arial"/>
          <w:sz w:val="24"/>
          <w:szCs w:val="24"/>
        </w:rPr>
        <w:t xml:space="preserve"> </w:t>
      </w:r>
    </w:p>
    <w:p w14:paraId="218242D0" w14:textId="77777777" w:rsidR="00691EDF" w:rsidRPr="0017112C"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sidR="00F55894">
        <w:rPr>
          <w:rFonts w:ascii="Verdana" w:hAnsi="Verdana"/>
          <w:b/>
          <w:sz w:val="24"/>
          <w:szCs w:val="24"/>
        </w:rPr>
        <w:t xml:space="preserve">that: </w:t>
      </w:r>
      <w:r w:rsidR="00210BD1">
        <w:rPr>
          <w:rFonts w:ascii="Verdana" w:hAnsi="Verdana"/>
          <w:b/>
          <w:sz w:val="24"/>
          <w:szCs w:val="24"/>
        </w:rPr>
        <w:t>WAST</w:t>
      </w:r>
      <w:r w:rsidR="00F55894">
        <w:rPr>
          <w:rFonts w:ascii="Verdana" w:hAnsi="Verdana"/>
          <w:b/>
          <w:sz w:val="24"/>
          <w:szCs w:val="24"/>
        </w:rPr>
        <w:t xml:space="preserve"> has not achieved the Red 8 minu</w:t>
      </w:r>
      <w:r w:rsidR="00AB0CF1">
        <w:rPr>
          <w:rFonts w:ascii="Verdana" w:hAnsi="Verdana"/>
          <w:b/>
          <w:sz w:val="24"/>
          <w:szCs w:val="24"/>
        </w:rPr>
        <w:t>te 65% target for the last six</w:t>
      </w:r>
      <w:r w:rsidR="00F55894">
        <w:rPr>
          <w:rFonts w:ascii="Verdana" w:hAnsi="Verdana"/>
          <w:b/>
          <w:sz w:val="24"/>
          <w:szCs w:val="24"/>
        </w:rPr>
        <w:t xml:space="preserve"> months; </w:t>
      </w:r>
      <w:r w:rsidR="00AB0CF1">
        <w:rPr>
          <w:rFonts w:ascii="Verdana" w:hAnsi="Verdana"/>
          <w:b/>
          <w:sz w:val="24"/>
          <w:szCs w:val="24"/>
        </w:rPr>
        <w:t xml:space="preserve">that there are </w:t>
      </w:r>
      <w:r w:rsidR="00F55894">
        <w:rPr>
          <w:rFonts w:ascii="Verdana" w:hAnsi="Verdana"/>
          <w:b/>
          <w:sz w:val="24"/>
          <w:szCs w:val="24"/>
        </w:rPr>
        <w:t xml:space="preserve">a range of factors  affecting Red performance (and Amber); </w:t>
      </w:r>
      <w:r w:rsidR="00210BD1">
        <w:rPr>
          <w:rFonts w:ascii="Verdana" w:hAnsi="Verdana"/>
          <w:b/>
          <w:sz w:val="24"/>
          <w:szCs w:val="24"/>
        </w:rPr>
        <w:t xml:space="preserve">WAST </w:t>
      </w:r>
      <w:r w:rsidR="00AB0CF1">
        <w:rPr>
          <w:rFonts w:ascii="Verdana" w:hAnsi="Verdana"/>
          <w:b/>
          <w:sz w:val="24"/>
          <w:szCs w:val="24"/>
        </w:rPr>
        <w:t xml:space="preserve">has sought to </w:t>
      </w:r>
      <w:r w:rsidR="00F55894">
        <w:rPr>
          <w:rFonts w:ascii="Verdana" w:hAnsi="Verdana"/>
          <w:b/>
          <w:sz w:val="24"/>
          <w:szCs w:val="24"/>
        </w:rPr>
        <w:t xml:space="preserve">mitigate </w:t>
      </w:r>
      <w:r w:rsidR="00AB0CF1">
        <w:rPr>
          <w:rFonts w:ascii="Verdana" w:hAnsi="Verdana"/>
          <w:b/>
          <w:sz w:val="24"/>
          <w:szCs w:val="24"/>
        </w:rPr>
        <w:t xml:space="preserve">the impact of CoVID-19 </w:t>
      </w:r>
      <w:r w:rsidR="00F55894">
        <w:rPr>
          <w:rFonts w:ascii="Verdana" w:hAnsi="Verdana"/>
          <w:b/>
          <w:sz w:val="24"/>
          <w:szCs w:val="24"/>
        </w:rPr>
        <w:t>through a range of actions, in particular, boosting production, minimising lost hours to handover and shift left actions.</w:t>
      </w:r>
    </w:p>
    <w:p w14:paraId="1D49DD89" w14:textId="77777777" w:rsidR="00691EDF" w:rsidRPr="00210BD1" w:rsidRDefault="00691EDF" w:rsidP="00E47A8D">
      <w:pPr>
        <w:pStyle w:val="ListParagraph"/>
        <w:spacing w:after="0" w:line="240" w:lineRule="auto"/>
        <w:rPr>
          <w:rFonts w:ascii="Verdana" w:eastAsia="Calibri" w:hAnsi="Verdana" w:cs="Arial"/>
          <w:b/>
          <w:sz w:val="24"/>
          <w:szCs w:val="24"/>
          <w:u w:val="single"/>
        </w:rPr>
      </w:pPr>
    </w:p>
    <w:p w14:paraId="35C49E8C" w14:textId="77777777" w:rsidR="00076E9C" w:rsidRPr="00210BD1" w:rsidRDefault="00076E9C" w:rsidP="0049517E">
      <w:pPr>
        <w:pStyle w:val="ListParagraph"/>
        <w:spacing w:after="0" w:line="240" w:lineRule="auto"/>
        <w:ind w:left="709"/>
        <w:jc w:val="both"/>
        <w:rPr>
          <w:rFonts w:ascii="Verdana" w:eastAsia="Calibri" w:hAnsi="Verdana" w:cs="Arial"/>
          <w:b/>
          <w:sz w:val="24"/>
          <w:szCs w:val="24"/>
          <w:u w:val="single"/>
        </w:rPr>
      </w:pPr>
      <w:r w:rsidRPr="00210BD1">
        <w:rPr>
          <w:rFonts w:ascii="Verdana" w:eastAsia="Calibri" w:hAnsi="Verdana" w:cs="Arial"/>
          <w:b/>
          <w:sz w:val="24"/>
          <w:szCs w:val="24"/>
          <w:u w:val="single"/>
        </w:rPr>
        <w:t>NEPTS Performance</w:t>
      </w:r>
    </w:p>
    <w:p w14:paraId="5303292A" w14:textId="77777777" w:rsidR="00076E9C" w:rsidRPr="00210BD1" w:rsidRDefault="00076E9C" w:rsidP="0049517E">
      <w:pPr>
        <w:pStyle w:val="ListParagraph"/>
        <w:spacing w:after="0" w:line="240" w:lineRule="auto"/>
        <w:rPr>
          <w:rFonts w:ascii="Verdana" w:eastAsia="Calibri" w:hAnsi="Verdana" w:cs="Arial"/>
          <w:b/>
          <w:sz w:val="24"/>
          <w:szCs w:val="24"/>
          <w:u w:val="single"/>
        </w:rPr>
      </w:pPr>
    </w:p>
    <w:p w14:paraId="3B4F14F6" w14:textId="77777777" w:rsidR="001E19A4" w:rsidRPr="00210BD1" w:rsidRDefault="00210BD1" w:rsidP="0049517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2.26</w:t>
      </w:r>
      <w:r>
        <w:rPr>
          <w:rFonts w:ascii="Verdana" w:eastAsia="Calibri" w:hAnsi="Verdana" w:cs="Arial"/>
          <w:sz w:val="24"/>
          <w:szCs w:val="24"/>
        </w:rPr>
        <w:tab/>
      </w:r>
      <w:r w:rsidR="001E19A4" w:rsidRPr="00210BD1">
        <w:rPr>
          <w:rFonts w:ascii="Verdana" w:eastAsia="Calibri" w:hAnsi="Verdana" w:cs="Arial"/>
          <w:sz w:val="24"/>
          <w:szCs w:val="24"/>
        </w:rPr>
        <w:t>The NEPTS ambulance quality indicators are suspended at this point in time due to CoVID-19; however, there is some internal reporting.  Key points about NEPTS are as follows:-</w:t>
      </w:r>
    </w:p>
    <w:p w14:paraId="3CE0E9A6" w14:textId="77777777" w:rsidR="001E19A4"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CoVID-19 saw a significant drop in patient transport activity. Levels have begun to increase, but they have not recovered to pre-CoVID-19 levels;</w:t>
      </w:r>
    </w:p>
    <w:p w14:paraId="17956C25" w14:textId="77777777" w:rsidR="0049517E" w:rsidRPr="00210BD1" w:rsidRDefault="0049517E" w:rsidP="0049517E">
      <w:pPr>
        <w:pStyle w:val="ListParagraph"/>
        <w:spacing w:after="0" w:line="240" w:lineRule="auto"/>
        <w:ind w:left="1287"/>
        <w:jc w:val="both"/>
        <w:rPr>
          <w:rFonts w:ascii="Verdana" w:eastAsia="Calibri" w:hAnsi="Verdana" w:cs="Arial"/>
          <w:sz w:val="24"/>
          <w:szCs w:val="24"/>
        </w:rPr>
      </w:pPr>
    </w:p>
    <w:p w14:paraId="1B70637E" w14:textId="0071FC31" w:rsidR="001E19A4" w:rsidRPr="00210BD1"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lastRenderedPageBreak/>
        <w:t>CoVID</w:t>
      </w:r>
      <w:r w:rsidR="00853351">
        <w:rPr>
          <w:rFonts w:ascii="Verdana" w:eastAsia="Calibri" w:hAnsi="Verdana" w:cs="Arial"/>
          <w:sz w:val="24"/>
          <w:szCs w:val="24"/>
        </w:rPr>
        <w:t>-</w:t>
      </w:r>
      <w:r w:rsidRPr="00210BD1">
        <w:rPr>
          <w:rFonts w:ascii="Verdana" w:eastAsia="Calibri" w:hAnsi="Verdana" w:cs="Arial"/>
          <w:sz w:val="24"/>
          <w:szCs w:val="24"/>
        </w:rPr>
        <w:t>19 abstractions and social distancing has been challenging, but NEPTS has seen a continued improvement in key areas of service delivery particularly discharge and transfer.  Enhanced services performance has improved with some tailing off in recent months;</w:t>
      </w:r>
    </w:p>
    <w:p w14:paraId="41A5989D" w14:textId="77777777" w:rsidR="001E19A4" w:rsidRPr="00210BD1" w:rsidRDefault="001E19A4" w:rsidP="001E19A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than can be transported per journey has reduced, which has a significant impact on NEPTS capacity</w:t>
      </w:r>
      <w:r w:rsidRPr="00210BD1">
        <w:rPr>
          <w:rFonts w:ascii="Verdana" w:eastAsia="Calibri" w:hAnsi="Verdana" w:cs="Arial"/>
          <w:sz w:val="24"/>
          <w:szCs w:val="24"/>
        </w:rPr>
        <w:t>;</w:t>
      </w:r>
    </w:p>
    <w:p w14:paraId="08DC8F96" w14:textId="77777777" w:rsidR="001E19A4" w:rsidRPr="00210BD1" w:rsidRDefault="001E19A4" w:rsidP="0049517E">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CoVID-19 on NEPTS capacity could be offset by the reduced demand;</w:t>
      </w:r>
    </w:p>
    <w:p w14:paraId="107D2B16" w14:textId="77777777" w:rsidR="001E19A4" w:rsidRPr="00210BD1" w:rsidRDefault="001E19A4" w:rsidP="0049517E">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CoVID-19 factors: journeys taking longer due to PPE, staff sickness, staff shielding, staff training and testing, infection prevention and control arrangements and so on; and</w:t>
      </w:r>
    </w:p>
    <w:p w14:paraId="2CEAAA4F" w14:textId="77777777" w:rsidR="001E19A4" w:rsidRPr="00210BD1" w:rsidRDefault="001E19A4" w:rsidP="0049517E">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p>
    <w:p w14:paraId="41945ED5" w14:textId="77777777" w:rsidR="001E19A4" w:rsidRPr="00210BD1" w:rsidRDefault="001E19A4" w:rsidP="0049517E">
      <w:pPr>
        <w:spacing w:after="0" w:line="240" w:lineRule="auto"/>
        <w:jc w:val="both"/>
        <w:rPr>
          <w:rFonts w:ascii="Verdana" w:eastAsia="Calibri" w:hAnsi="Verdana" w:cs="Arial"/>
          <w:color w:val="C00000"/>
          <w:sz w:val="24"/>
          <w:szCs w:val="24"/>
        </w:rPr>
      </w:pPr>
    </w:p>
    <w:p w14:paraId="7406EBD1" w14:textId="77777777" w:rsidR="001E19A4" w:rsidRPr="00210BD1" w:rsidRDefault="00210BD1" w:rsidP="0049517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2.27</w:t>
      </w:r>
      <w:r>
        <w:rPr>
          <w:rFonts w:ascii="Verdana" w:eastAsia="Calibri" w:hAnsi="Verdana" w:cs="Arial"/>
          <w:sz w:val="24"/>
          <w:szCs w:val="24"/>
        </w:rPr>
        <w:tab/>
      </w:r>
      <w:r w:rsidR="001E19A4" w:rsidRPr="00210BD1">
        <w:rPr>
          <w:rFonts w:ascii="Verdana" w:eastAsia="Calibri" w:hAnsi="Verdana" w:cs="Arial"/>
          <w:sz w:val="24"/>
          <w:szCs w:val="24"/>
        </w:rPr>
        <w:t>71% of core journeys arrived within 30 minutes (+/-) of their appointment time in Jan-21-; 77% of enhanced renal journeys arrived within 30 minutes prior to their appointment time; and 52% of enhanced oncology journeys arrived within 30 minutes prior to their appointment time.</w:t>
      </w:r>
    </w:p>
    <w:p w14:paraId="13E6E31F" w14:textId="77777777" w:rsidR="001E19A4" w:rsidRPr="00210BD1" w:rsidRDefault="00210BD1" w:rsidP="0049517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2.28</w:t>
      </w:r>
      <w:r>
        <w:rPr>
          <w:rFonts w:ascii="Verdana" w:eastAsia="Calibri" w:hAnsi="Verdana" w:cs="Arial"/>
          <w:sz w:val="24"/>
          <w:szCs w:val="24"/>
        </w:rPr>
        <w:tab/>
      </w:r>
      <w:r w:rsidR="001E19A4" w:rsidRPr="00210BD1">
        <w:rPr>
          <w:rFonts w:ascii="Verdana" w:eastAsia="Calibri" w:hAnsi="Verdana" w:cs="Arial"/>
          <w:sz w:val="24"/>
          <w:szCs w:val="24"/>
        </w:rPr>
        <w:t>As we emerge out of pandemic response in 2021/22 and the health system is “re-set” we may see pent up demand for NEPTS as the system is switched back on and tries to catch up on certain services.  This will need to be modelled.</w:t>
      </w:r>
    </w:p>
    <w:p w14:paraId="77316E26" w14:textId="77777777" w:rsidR="001E19A4" w:rsidRDefault="00210BD1" w:rsidP="0049517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2.29</w:t>
      </w:r>
      <w:r>
        <w:rPr>
          <w:rFonts w:ascii="Verdana" w:eastAsia="Calibri" w:hAnsi="Verdana" w:cs="Arial"/>
          <w:sz w:val="24"/>
          <w:szCs w:val="24"/>
        </w:rPr>
        <w:tab/>
      </w:r>
      <w:r w:rsidR="001E19A4" w:rsidRPr="00210BD1">
        <w:rPr>
          <w:rFonts w:ascii="Verdana" w:eastAsia="Calibri" w:hAnsi="Verdana" w:cs="Arial"/>
          <w:sz w:val="24"/>
          <w:szCs w:val="24"/>
        </w:rPr>
        <w:t xml:space="preserve">Finally, the NEPTS Demand &amp; Capacity Review is completed and has been reported to </w:t>
      </w:r>
      <w:r w:rsidR="00AB0CF1" w:rsidRPr="00210BD1">
        <w:rPr>
          <w:rFonts w:ascii="Verdana" w:eastAsia="Calibri" w:hAnsi="Verdana" w:cs="Arial"/>
          <w:sz w:val="24"/>
          <w:szCs w:val="24"/>
        </w:rPr>
        <w:t xml:space="preserve">the WAST </w:t>
      </w:r>
      <w:r w:rsidR="001E19A4" w:rsidRPr="00210BD1">
        <w:rPr>
          <w:rFonts w:ascii="Verdana" w:eastAsia="Calibri" w:hAnsi="Verdana" w:cs="Arial"/>
          <w:sz w:val="24"/>
          <w:szCs w:val="24"/>
        </w:rPr>
        <w:t>Executive Management Team in the first instance. Due to the focus on the Integrated Medium Term Plan</w:t>
      </w:r>
      <w:r>
        <w:rPr>
          <w:rFonts w:ascii="Verdana" w:eastAsia="Calibri" w:hAnsi="Verdana" w:cs="Arial"/>
          <w:sz w:val="24"/>
          <w:szCs w:val="24"/>
        </w:rPr>
        <w:t xml:space="preserve"> (IMTP)</w:t>
      </w:r>
      <w:r w:rsidR="001E19A4" w:rsidRPr="00210BD1">
        <w:rPr>
          <w:rFonts w:ascii="Verdana" w:eastAsia="Calibri" w:hAnsi="Verdana" w:cs="Arial"/>
          <w:sz w:val="24"/>
          <w:szCs w:val="24"/>
        </w:rPr>
        <w:t xml:space="preserve"> it is unlikely to be reported through formal governance routes in Quarter 4, but a shadow programme board will be created with formal reporting of the Review in Quarter 1 2021/22. The Review includes a range of benchmarks than can be built into this report.</w:t>
      </w:r>
      <w:r w:rsidR="00AB0CF1" w:rsidRPr="00210BD1">
        <w:rPr>
          <w:rFonts w:ascii="Verdana" w:eastAsia="Calibri" w:hAnsi="Verdana" w:cs="Arial"/>
          <w:sz w:val="24"/>
          <w:szCs w:val="24"/>
        </w:rPr>
        <w:t xml:space="preserve">  Completion of the Review also means WAST is in a stronger position to model NEPTS</w:t>
      </w:r>
      <w:r>
        <w:rPr>
          <w:rFonts w:ascii="Verdana" w:eastAsia="Calibri" w:hAnsi="Verdana" w:cs="Arial"/>
          <w:sz w:val="24"/>
          <w:szCs w:val="24"/>
        </w:rPr>
        <w:t xml:space="preserve"> as part of the system “re-set”</w:t>
      </w:r>
      <w:r w:rsidR="00AB0CF1" w:rsidRPr="00210BD1">
        <w:rPr>
          <w:rFonts w:ascii="Verdana" w:eastAsia="Calibri" w:hAnsi="Verdana" w:cs="Arial"/>
          <w:sz w:val="24"/>
          <w:szCs w:val="24"/>
        </w:rPr>
        <w:t>.</w:t>
      </w:r>
    </w:p>
    <w:p w14:paraId="599D30B0" w14:textId="77777777" w:rsidR="001E19A4" w:rsidRPr="00210BD1" w:rsidRDefault="001E19A4" w:rsidP="0049517E">
      <w:pPr>
        <w:pStyle w:val="ListParagraph"/>
        <w:spacing w:after="0" w:line="240" w:lineRule="auto"/>
        <w:rPr>
          <w:rFonts w:ascii="Verdana" w:eastAsia="Calibri" w:hAnsi="Verdana" w:cs="Arial"/>
          <w:b/>
          <w:sz w:val="24"/>
          <w:szCs w:val="24"/>
          <w:u w:val="single"/>
        </w:rPr>
      </w:pPr>
    </w:p>
    <w:p w14:paraId="7E61AE32" w14:textId="71BCD73F" w:rsidR="00691EDF" w:rsidRPr="0017112C" w:rsidRDefault="00691EDF" w:rsidP="0049517E">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AB0CF1">
        <w:rPr>
          <w:rFonts w:ascii="Verdana" w:hAnsi="Verdana"/>
          <w:b/>
          <w:sz w:val="24"/>
          <w:szCs w:val="24"/>
        </w:rPr>
        <w:t xml:space="preserve"> NEPTS has been able to maintain performance through the pandemic period; however, there is a concern that as we emerge from the pandemic and the system is “re-set” and switched back on the combined impact of continuing social distancing and pent up demand could mean a level of patient demand that NEPTS is unable to manage; tactical </w:t>
      </w:r>
      <w:r w:rsidR="00853351">
        <w:rPr>
          <w:rFonts w:ascii="Verdana" w:hAnsi="Verdana"/>
          <w:b/>
          <w:sz w:val="24"/>
          <w:szCs w:val="24"/>
        </w:rPr>
        <w:t xml:space="preserve">forecasting and modelling on </w:t>
      </w:r>
      <w:r w:rsidR="00AB0CF1">
        <w:rPr>
          <w:rFonts w:ascii="Verdana" w:hAnsi="Verdana"/>
          <w:b/>
          <w:sz w:val="24"/>
          <w:szCs w:val="24"/>
        </w:rPr>
        <w:t xml:space="preserve"> this scenario is required; and the strategic NEPTS Demand &amp; Capacity Review has been completed and will be formally </w:t>
      </w:r>
      <w:r w:rsidR="00210BD1">
        <w:rPr>
          <w:rFonts w:ascii="Verdana" w:hAnsi="Verdana"/>
          <w:b/>
          <w:sz w:val="24"/>
          <w:szCs w:val="24"/>
        </w:rPr>
        <w:t xml:space="preserve">to reported to stakeholders </w:t>
      </w:r>
      <w:r w:rsidR="00AB0CF1">
        <w:rPr>
          <w:rFonts w:ascii="Verdana" w:hAnsi="Verdana"/>
          <w:b/>
          <w:sz w:val="24"/>
          <w:szCs w:val="24"/>
        </w:rPr>
        <w:t>in quarter 1 2021/22</w:t>
      </w:r>
      <w:r>
        <w:rPr>
          <w:rFonts w:ascii="Verdana" w:hAnsi="Verdana"/>
          <w:b/>
          <w:sz w:val="24"/>
          <w:szCs w:val="24"/>
        </w:rPr>
        <w:t>.</w:t>
      </w:r>
    </w:p>
    <w:p w14:paraId="238E2CBF" w14:textId="77777777"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lastRenderedPageBreak/>
        <w:t>Commissioning, Planning and Leading Change</w:t>
      </w:r>
    </w:p>
    <w:p w14:paraId="20576053" w14:textId="77777777" w:rsidR="00691EDF" w:rsidRDefault="00691EDF" w:rsidP="00E47A8D">
      <w:pPr>
        <w:pStyle w:val="ListParagraph"/>
        <w:spacing w:after="0" w:line="240" w:lineRule="auto"/>
        <w:ind w:left="502"/>
        <w:jc w:val="both"/>
        <w:rPr>
          <w:rFonts w:ascii="Verdana" w:eastAsia="Calibri" w:hAnsi="Verdana" w:cs="Arial"/>
          <w:sz w:val="24"/>
          <w:szCs w:val="24"/>
        </w:rPr>
      </w:pPr>
    </w:p>
    <w:p w14:paraId="531707D3" w14:textId="77777777"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 Strategic Demand &amp; Capacity Reviews</w:t>
      </w:r>
    </w:p>
    <w:p w14:paraId="359401EB"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0A1A6D2A" w14:textId="77777777" w:rsidR="00076E9C" w:rsidRPr="00E47A8D" w:rsidRDefault="00210BD1"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2.30</w:t>
      </w:r>
      <w:r w:rsidR="00D775B4">
        <w:rPr>
          <w:rFonts w:ascii="Verdana" w:eastAsia="Calibri" w:hAnsi="Verdana" w:cs="Arial"/>
          <w:sz w:val="24"/>
          <w:szCs w:val="24"/>
        </w:rPr>
        <w:tab/>
      </w:r>
      <w:r w:rsidR="00076E9C" w:rsidRPr="00E47A8D">
        <w:rPr>
          <w:rFonts w:ascii="Verdana" w:eastAsia="Calibri" w:hAnsi="Verdana" w:cs="Arial"/>
          <w:sz w:val="24"/>
          <w:szCs w:val="24"/>
        </w:rPr>
        <w:t>The EMS Demand &amp; Capacity Programme (arising from the EMS Demand &amp; Capacity Review) is the Trust’s main strategic response to patient safety and experience concerns.</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086328CF" w14:textId="5BC3CF64" w:rsidR="00212321" w:rsidRDefault="00210BD1"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2.31</w:t>
      </w:r>
      <w:r w:rsidR="00D775B4">
        <w:rPr>
          <w:rFonts w:ascii="Verdana" w:eastAsia="Calibri" w:hAnsi="Verdana" w:cs="Arial"/>
          <w:sz w:val="24"/>
          <w:szCs w:val="24"/>
        </w:rPr>
        <w:tab/>
      </w:r>
      <w:r w:rsidR="00212321">
        <w:rPr>
          <w:rFonts w:ascii="Verdana" w:eastAsia="Calibri" w:hAnsi="Verdana" w:cs="Arial"/>
          <w:sz w:val="24"/>
          <w:szCs w:val="24"/>
        </w:rPr>
        <w:t>In Sep-20</w:t>
      </w:r>
      <w:r w:rsidR="0049517E">
        <w:rPr>
          <w:rFonts w:ascii="Verdana" w:eastAsia="Calibri" w:hAnsi="Verdana" w:cs="Arial"/>
          <w:sz w:val="24"/>
          <w:szCs w:val="24"/>
        </w:rPr>
        <w:t>,</w:t>
      </w:r>
      <w:r w:rsidR="00212321">
        <w:rPr>
          <w:rFonts w:ascii="Verdana" w:eastAsia="Calibri" w:hAnsi="Verdana" w:cs="Arial"/>
          <w:sz w:val="24"/>
          <w:szCs w:val="24"/>
        </w:rPr>
        <w:t xml:space="preserve"> WAST</w:t>
      </w:r>
      <w:r w:rsidR="00076E9C" w:rsidRPr="00E47A8D">
        <w:rPr>
          <w:rFonts w:ascii="Verdana" w:eastAsia="Calibri" w:hAnsi="Verdana" w:cs="Arial"/>
          <w:b/>
          <w:sz w:val="24"/>
          <w:szCs w:val="24"/>
        </w:rPr>
        <w:t xml:space="preserve"> secured </w:t>
      </w:r>
      <w:r w:rsidR="00212321">
        <w:rPr>
          <w:rFonts w:ascii="Verdana" w:eastAsia="Calibri" w:hAnsi="Verdana" w:cs="Arial"/>
          <w:b/>
          <w:sz w:val="24"/>
          <w:szCs w:val="24"/>
        </w:rPr>
        <w:t>further</w:t>
      </w:r>
      <w:r w:rsidR="00076E9C" w:rsidRPr="00E47A8D">
        <w:rPr>
          <w:rFonts w:ascii="Verdana" w:eastAsia="Calibri" w:hAnsi="Verdana" w:cs="Arial"/>
          <w:b/>
          <w:sz w:val="24"/>
          <w:szCs w:val="24"/>
        </w:rPr>
        <w:t xml:space="preserve"> funding</w:t>
      </w:r>
      <w:r w:rsidR="00212321">
        <w:rPr>
          <w:rFonts w:ascii="Verdana" w:eastAsia="Calibri" w:hAnsi="Verdana" w:cs="Arial"/>
          <w:b/>
          <w:sz w:val="24"/>
          <w:szCs w:val="24"/>
        </w:rPr>
        <w:t xml:space="preserve"> from EASC</w:t>
      </w:r>
      <w:r w:rsidR="00076E9C" w:rsidRPr="00E47A8D">
        <w:rPr>
          <w:rFonts w:ascii="Verdana" w:eastAsia="Calibri" w:hAnsi="Verdana" w:cs="Arial"/>
          <w:b/>
          <w:sz w:val="24"/>
          <w:szCs w:val="24"/>
        </w:rPr>
        <w:t xml:space="preserve"> for the balance of the 136 FTE </w:t>
      </w:r>
      <w:r w:rsidR="00212321">
        <w:rPr>
          <w:rFonts w:ascii="Verdana" w:eastAsia="Calibri" w:hAnsi="Verdana" w:cs="Arial"/>
          <w:b/>
          <w:sz w:val="24"/>
          <w:szCs w:val="24"/>
        </w:rPr>
        <w:t xml:space="preserve">2020/21 </w:t>
      </w:r>
      <w:r w:rsidR="00076E9C" w:rsidRPr="00E47A8D">
        <w:rPr>
          <w:rFonts w:ascii="Verdana" w:eastAsia="Calibri" w:hAnsi="Verdana" w:cs="Arial"/>
          <w:b/>
          <w:sz w:val="24"/>
          <w:szCs w:val="24"/>
        </w:rPr>
        <w:t>additionality</w:t>
      </w:r>
      <w:r>
        <w:rPr>
          <w:rFonts w:ascii="Verdana" w:eastAsia="Calibri" w:hAnsi="Verdana" w:cs="Arial"/>
          <w:b/>
          <w:sz w:val="24"/>
          <w:szCs w:val="24"/>
        </w:rPr>
        <w:t xml:space="preserve"> by 31 Mar-21</w:t>
      </w:r>
      <w:r w:rsidR="00212321">
        <w:rPr>
          <w:rFonts w:ascii="Verdana" w:eastAsia="Calibri" w:hAnsi="Verdana" w:cs="Arial"/>
          <w:b/>
          <w:sz w:val="24"/>
          <w:szCs w:val="24"/>
        </w:rPr>
        <w:t xml:space="preserve">. </w:t>
      </w:r>
      <w:r w:rsidR="00212321" w:rsidRPr="00212321">
        <w:rPr>
          <w:rFonts w:ascii="Verdana" w:eastAsia="Calibri" w:hAnsi="Verdana" w:cs="Arial"/>
          <w:sz w:val="24"/>
          <w:szCs w:val="24"/>
        </w:rPr>
        <w:t>WAST is</w:t>
      </w:r>
      <w:r w:rsidR="00212321">
        <w:rPr>
          <w:rFonts w:ascii="Verdana" w:eastAsia="Calibri" w:hAnsi="Verdana" w:cs="Arial"/>
          <w:b/>
          <w:sz w:val="24"/>
          <w:szCs w:val="24"/>
        </w:rPr>
        <w:t xml:space="preserve"> </w:t>
      </w:r>
      <w:r w:rsidR="00212321">
        <w:rPr>
          <w:rFonts w:ascii="Verdana" w:eastAsia="Calibri" w:hAnsi="Verdana" w:cs="Arial"/>
          <w:sz w:val="24"/>
          <w:szCs w:val="24"/>
        </w:rPr>
        <w:t xml:space="preserve">on-target to deliver this additionality.  The programme board meets every three weeks (with the NCCU represented) and reports formally to EASC Management Group bi-monthly.  Whilst the programme has made excellent progress on recruitment and training, </w:t>
      </w:r>
      <w:r w:rsidR="001A4358">
        <w:rPr>
          <w:rFonts w:ascii="Verdana" w:eastAsia="Calibri" w:hAnsi="Verdana" w:cs="Arial"/>
          <w:sz w:val="24"/>
          <w:szCs w:val="24"/>
        </w:rPr>
        <w:t xml:space="preserve">elements of the </w:t>
      </w:r>
      <w:r w:rsidR="00212321">
        <w:rPr>
          <w:rFonts w:ascii="Verdana" w:eastAsia="Calibri" w:hAnsi="Verdana" w:cs="Arial"/>
          <w:sz w:val="24"/>
          <w:szCs w:val="24"/>
        </w:rPr>
        <w:t xml:space="preserve">programme </w:t>
      </w:r>
      <w:r w:rsidR="001A4358">
        <w:rPr>
          <w:rFonts w:ascii="Verdana" w:eastAsia="Calibri" w:hAnsi="Verdana" w:cs="Arial"/>
          <w:sz w:val="24"/>
          <w:szCs w:val="24"/>
        </w:rPr>
        <w:t xml:space="preserve">timeframes have had to be </w:t>
      </w:r>
      <w:r w:rsidR="00212321">
        <w:rPr>
          <w:rFonts w:ascii="Verdana" w:eastAsia="Calibri" w:hAnsi="Verdana" w:cs="Arial"/>
          <w:sz w:val="24"/>
          <w:szCs w:val="24"/>
        </w:rPr>
        <w:t>re-cast for quarter 4 and 2021/22.  Key areas of the programme for 2021/22 include:-</w:t>
      </w:r>
    </w:p>
    <w:p w14:paraId="17343B9F" w14:textId="17CBBA84"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Closing the “relief gap” (a</w:t>
      </w:r>
      <w:r w:rsidR="001A4358">
        <w:rPr>
          <w:rFonts w:ascii="Verdana" w:eastAsia="Calibri" w:hAnsi="Verdana" w:cs="Arial"/>
          <w:sz w:val="24"/>
          <w:szCs w:val="24"/>
        </w:rPr>
        <w:t xml:space="preserve">n </w:t>
      </w:r>
      <w:r w:rsidRPr="00F40F8B">
        <w:rPr>
          <w:rFonts w:ascii="Verdana" w:eastAsia="Calibri" w:hAnsi="Verdana" w:cs="Arial"/>
          <w:sz w:val="24"/>
          <w:szCs w:val="24"/>
        </w:rPr>
        <w:t>EASC commissioning intention for 2021/22</w:t>
      </w:r>
      <w:r w:rsidR="00AF41B9">
        <w:rPr>
          <w:rFonts w:ascii="Verdana" w:eastAsia="Calibri" w:hAnsi="Verdana" w:cs="Arial"/>
          <w:sz w:val="24"/>
          <w:szCs w:val="24"/>
        </w:rPr>
        <w:t>)</w:t>
      </w:r>
      <w:r w:rsidRPr="00F40F8B">
        <w:rPr>
          <w:rFonts w:ascii="Verdana" w:eastAsia="Calibri" w:hAnsi="Verdana" w:cs="Arial"/>
          <w:sz w:val="24"/>
          <w:szCs w:val="24"/>
        </w:rPr>
        <w:t>;</w:t>
      </w:r>
    </w:p>
    <w:p w14:paraId="49DFFC4E" w14:textId="77777777"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Re-rostering the response workforce (WAST has </w:t>
      </w:r>
      <w:r w:rsidR="00AF41B9">
        <w:rPr>
          <w:rFonts w:ascii="Verdana" w:eastAsia="Calibri" w:hAnsi="Verdana" w:cs="Arial"/>
          <w:sz w:val="24"/>
          <w:szCs w:val="24"/>
        </w:rPr>
        <w:t xml:space="preserve">a </w:t>
      </w:r>
      <w:r w:rsidRPr="00F40F8B">
        <w:rPr>
          <w:rFonts w:ascii="Verdana" w:eastAsia="Calibri" w:hAnsi="Verdana" w:cs="Arial"/>
          <w:sz w:val="24"/>
          <w:szCs w:val="24"/>
        </w:rPr>
        <w:t>project board in place and expects to let a contract of a third party this month, to support this complex project</w:t>
      </w:r>
      <w:r w:rsidR="00AF41B9">
        <w:rPr>
          <w:rFonts w:ascii="Verdana" w:eastAsia="Calibri" w:hAnsi="Verdana" w:cs="Arial"/>
          <w:sz w:val="24"/>
          <w:szCs w:val="24"/>
        </w:rPr>
        <w:t>)</w:t>
      </w:r>
      <w:r w:rsidRPr="00F40F8B">
        <w:rPr>
          <w:rFonts w:ascii="Verdana" w:eastAsia="Calibri" w:hAnsi="Verdana" w:cs="Arial"/>
          <w:sz w:val="24"/>
          <w:szCs w:val="24"/>
        </w:rPr>
        <w:t>;</w:t>
      </w:r>
    </w:p>
    <w:p w14:paraId="30DF295C" w14:textId="7DBF1B23"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Deliver an estates contingency plan so that there is sufficient estate to take the FTE additionality planned for 2021/22;</w:t>
      </w:r>
    </w:p>
    <w:p w14:paraId="7C426CE9" w14:textId="0B9FE86B" w:rsidR="00212321" w:rsidRPr="00F40F8B" w:rsidRDefault="00212321"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A </w:t>
      </w:r>
      <w:r w:rsidR="001A4358">
        <w:rPr>
          <w:rFonts w:ascii="Verdana" w:eastAsia="Calibri" w:hAnsi="Verdana" w:cs="Arial"/>
          <w:sz w:val="24"/>
          <w:szCs w:val="24"/>
        </w:rPr>
        <w:t xml:space="preserve">potential for a </w:t>
      </w:r>
      <w:r w:rsidRPr="00F40F8B">
        <w:rPr>
          <w:rFonts w:ascii="Verdana" w:eastAsia="Calibri" w:hAnsi="Verdana" w:cs="Arial"/>
          <w:sz w:val="24"/>
          <w:szCs w:val="24"/>
        </w:rPr>
        <w:t>further expansion of hear &amp; treat services (linked to final decision on the WAST 2021/22 IMTP);</w:t>
      </w:r>
    </w:p>
    <w:p w14:paraId="1B591338" w14:textId="77777777" w:rsidR="00076E9C" w:rsidRPr="00F40F8B" w:rsidRDefault="00F40F8B"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 xml:space="preserve">CCC transformation, in particular, the reconfiguration of dispatch boundaries and changes to working practices, for example, </w:t>
      </w:r>
      <w:r w:rsidR="00210BD1">
        <w:rPr>
          <w:rFonts w:ascii="Verdana" w:eastAsia="Calibri" w:hAnsi="Verdana" w:cs="Arial"/>
          <w:sz w:val="24"/>
          <w:szCs w:val="24"/>
        </w:rPr>
        <w:t>the</w:t>
      </w:r>
      <w:r w:rsidRPr="00F40F8B">
        <w:rPr>
          <w:rFonts w:ascii="Verdana" w:eastAsia="Calibri" w:hAnsi="Verdana" w:cs="Arial"/>
          <w:sz w:val="24"/>
          <w:szCs w:val="24"/>
        </w:rPr>
        <w:t xml:space="preserve"> single allocator model; and</w:t>
      </w:r>
    </w:p>
    <w:p w14:paraId="43430676" w14:textId="77777777" w:rsidR="00F40F8B" w:rsidRPr="00F40F8B" w:rsidRDefault="00F40F8B" w:rsidP="00F40F8B">
      <w:pPr>
        <w:pStyle w:val="ListParagraph"/>
        <w:numPr>
          <w:ilvl w:val="0"/>
          <w:numId w:val="20"/>
        </w:numPr>
        <w:spacing w:after="0" w:line="240" w:lineRule="auto"/>
        <w:jc w:val="both"/>
        <w:rPr>
          <w:rFonts w:ascii="Verdana" w:eastAsia="Calibri" w:hAnsi="Verdana" w:cs="Arial"/>
          <w:sz w:val="24"/>
          <w:szCs w:val="24"/>
        </w:rPr>
      </w:pPr>
      <w:r w:rsidRPr="00F40F8B">
        <w:rPr>
          <w:rFonts w:ascii="Verdana" w:eastAsia="Calibri" w:hAnsi="Verdana" w:cs="Arial"/>
          <w:sz w:val="24"/>
          <w:szCs w:val="24"/>
        </w:rPr>
        <w:t>A range of efficiencies (including the re-rostering above, but also reduced roster abstractions and post production lost hours).</w:t>
      </w:r>
    </w:p>
    <w:p w14:paraId="7D5BC2C4" w14:textId="77777777" w:rsidR="00076E9C" w:rsidRPr="00E47A8D" w:rsidRDefault="00076E9C" w:rsidP="00E47A8D">
      <w:pPr>
        <w:pStyle w:val="ListParagraph"/>
        <w:spacing w:after="0" w:line="240" w:lineRule="auto"/>
        <w:rPr>
          <w:rFonts w:ascii="Verdana" w:eastAsia="Calibri" w:hAnsi="Verdana" w:cs="Arial"/>
          <w:sz w:val="24"/>
          <w:szCs w:val="24"/>
        </w:rPr>
      </w:pPr>
    </w:p>
    <w:p w14:paraId="444BDA9B" w14:textId="77777777" w:rsidR="00726EB0" w:rsidRDefault="00641409" w:rsidP="00F40F8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w:t>
      </w:r>
      <w:r w:rsidR="00210BD1">
        <w:rPr>
          <w:rFonts w:ascii="Verdana" w:eastAsia="Calibri" w:hAnsi="Verdana" w:cs="Arial"/>
          <w:sz w:val="24"/>
          <w:szCs w:val="24"/>
        </w:rPr>
        <w:t>2</w:t>
      </w:r>
      <w:r w:rsidR="00D775B4">
        <w:rPr>
          <w:rFonts w:ascii="Verdana" w:eastAsia="Calibri" w:hAnsi="Verdana" w:cs="Arial"/>
          <w:sz w:val="24"/>
          <w:szCs w:val="24"/>
        </w:rPr>
        <w:tab/>
      </w:r>
      <w:r w:rsidR="00726EB0">
        <w:rPr>
          <w:rFonts w:ascii="Verdana" w:eastAsia="Calibri" w:hAnsi="Verdana" w:cs="Arial"/>
          <w:sz w:val="24"/>
          <w:szCs w:val="24"/>
        </w:rPr>
        <w:t>Whilst the 2020/21 programme was disrupted as a result of the pandemic response and the recruitment and traini</w:t>
      </w:r>
      <w:r w:rsidR="00AF41B9">
        <w:rPr>
          <w:rFonts w:ascii="Verdana" w:eastAsia="Calibri" w:hAnsi="Verdana" w:cs="Arial"/>
          <w:sz w:val="24"/>
          <w:szCs w:val="24"/>
        </w:rPr>
        <w:t>ng process had to be digitalized</w:t>
      </w:r>
      <w:r w:rsidR="00726EB0">
        <w:rPr>
          <w:rFonts w:ascii="Verdana" w:eastAsia="Calibri" w:hAnsi="Verdana" w:cs="Arial"/>
          <w:sz w:val="24"/>
          <w:szCs w:val="24"/>
        </w:rPr>
        <w:t>; the 2021/22 programme will have more complexity with the estate being a particular risk to the programme.</w:t>
      </w:r>
    </w:p>
    <w:p w14:paraId="2D0E3A76" w14:textId="77777777" w:rsidR="00726EB0" w:rsidRDefault="00726EB0" w:rsidP="00F40F8B">
      <w:pPr>
        <w:spacing w:after="0" w:line="240" w:lineRule="auto"/>
        <w:ind w:left="709" w:hanging="709"/>
        <w:jc w:val="both"/>
        <w:rPr>
          <w:rFonts w:ascii="Verdana" w:eastAsia="Calibri" w:hAnsi="Verdana" w:cs="Arial"/>
          <w:sz w:val="24"/>
          <w:szCs w:val="24"/>
        </w:rPr>
      </w:pPr>
    </w:p>
    <w:p w14:paraId="15E585A7" w14:textId="77777777" w:rsidR="00F40F8B" w:rsidRPr="00E47A8D" w:rsidRDefault="00210BD1" w:rsidP="00F40F8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2.33</w:t>
      </w:r>
      <w:r>
        <w:rPr>
          <w:rFonts w:ascii="Verdana" w:eastAsia="Calibri" w:hAnsi="Verdana" w:cs="Arial"/>
          <w:sz w:val="24"/>
          <w:szCs w:val="24"/>
        </w:rPr>
        <w:tab/>
        <w:t>As per 2.29</w:t>
      </w:r>
      <w:r w:rsidR="00F40F8B">
        <w:rPr>
          <w:rFonts w:ascii="Verdana" w:eastAsia="Calibri" w:hAnsi="Verdana" w:cs="Arial"/>
          <w:sz w:val="24"/>
          <w:szCs w:val="24"/>
        </w:rPr>
        <w:t xml:space="preserve"> above the </w:t>
      </w:r>
      <w:r w:rsidR="00076E9C" w:rsidRPr="00E47A8D">
        <w:rPr>
          <w:rFonts w:ascii="Verdana" w:eastAsia="Calibri" w:hAnsi="Verdana" w:cs="Arial"/>
          <w:sz w:val="24"/>
          <w:szCs w:val="24"/>
        </w:rPr>
        <w:t xml:space="preserve">NEPTS Demand &amp; Capacity Review has </w:t>
      </w:r>
      <w:r w:rsidR="00F40F8B">
        <w:rPr>
          <w:rFonts w:ascii="Verdana" w:eastAsia="Calibri" w:hAnsi="Verdana" w:cs="Arial"/>
          <w:sz w:val="24"/>
          <w:szCs w:val="24"/>
        </w:rPr>
        <w:t xml:space="preserve">been completed.  As directed by the CASC, the Review focused on </w:t>
      </w:r>
      <w:r w:rsidR="00076E9C" w:rsidRPr="00E47A8D">
        <w:rPr>
          <w:rFonts w:ascii="Verdana" w:eastAsia="Calibri" w:hAnsi="Verdana" w:cs="Arial"/>
          <w:sz w:val="24"/>
          <w:szCs w:val="24"/>
        </w:rPr>
        <w:t xml:space="preserve">modelling </w:t>
      </w:r>
      <w:r w:rsidR="00F40F8B">
        <w:rPr>
          <w:rFonts w:ascii="Verdana" w:eastAsia="Calibri" w:hAnsi="Verdana" w:cs="Arial"/>
          <w:sz w:val="24"/>
          <w:szCs w:val="24"/>
        </w:rPr>
        <w:t xml:space="preserve">performance </w:t>
      </w:r>
      <w:r w:rsidR="00076E9C" w:rsidRPr="00E47A8D">
        <w:rPr>
          <w:rFonts w:ascii="Verdana" w:eastAsia="Calibri" w:hAnsi="Verdana" w:cs="Arial"/>
          <w:sz w:val="24"/>
          <w:szCs w:val="24"/>
        </w:rPr>
        <w:t>parameters that consider</w:t>
      </w:r>
      <w:r w:rsidR="00F40F8B">
        <w:rPr>
          <w:rFonts w:ascii="Verdana" w:eastAsia="Calibri" w:hAnsi="Verdana" w:cs="Arial"/>
          <w:sz w:val="24"/>
          <w:szCs w:val="24"/>
        </w:rPr>
        <w:t>ed</w:t>
      </w:r>
      <w:r w:rsidR="00076E9C" w:rsidRPr="00E47A8D">
        <w:rPr>
          <w:rFonts w:ascii="Verdana" w:eastAsia="Calibri" w:hAnsi="Verdana" w:cs="Arial"/>
          <w:sz w:val="24"/>
          <w:szCs w:val="24"/>
        </w:rPr>
        <w:t xml:space="preserve"> the whole patient journey, from initial pick up, treatment and return to home.</w:t>
      </w:r>
      <w:r w:rsidR="00F40F8B">
        <w:rPr>
          <w:rFonts w:ascii="Verdana" w:eastAsia="Calibri" w:hAnsi="Verdana" w:cs="Arial"/>
          <w:sz w:val="24"/>
          <w:szCs w:val="24"/>
        </w:rPr>
        <w:t xml:space="preserve">  A NEPTS Transformation Programme Board will now be established along the lines of the EMS Demand &amp; Capacity Programme.</w:t>
      </w:r>
    </w:p>
    <w:p w14:paraId="214527C5" w14:textId="77777777" w:rsidR="00076E9C" w:rsidRPr="00E47A8D" w:rsidRDefault="00076E9C" w:rsidP="00E47A8D">
      <w:pPr>
        <w:pStyle w:val="ListParagraph"/>
        <w:spacing w:after="0" w:line="240" w:lineRule="auto"/>
        <w:rPr>
          <w:rFonts w:ascii="Verdana" w:eastAsia="Calibri" w:hAnsi="Verdana" w:cs="Arial"/>
          <w:sz w:val="24"/>
          <w:szCs w:val="24"/>
        </w:rPr>
      </w:pPr>
    </w:p>
    <w:p w14:paraId="75136AB5" w14:textId="6432FBB6" w:rsidR="00076E9C" w:rsidRDefault="00210BD1" w:rsidP="00D775B4">
      <w:pPr>
        <w:spacing w:after="0" w:line="240" w:lineRule="auto"/>
        <w:ind w:left="709" w:hanging="709"/>
        <w:jc w:val="both"/>
        <w:rPr>
          <w:rFonts w:ascii="Verdana" w:hAnsi="Verdana" w:cs="Arial"/>
          <w:sz w:val="24"/>
          <w:szCs w:val="24"/>
        </w:rPr>
      </w:pPr>
      <w:r>
        <w:rPr>
          <w:rFonts w:ascii="Verdana" w:hAnsi="Verdana" w:cs="Arial"/>
          <w:sz w:val="24"/>
          <w:szCs w:val="24"/>
        </w:rPr>
        <w:lastRenderedPageBreak/>
        <w:t>2.34</w:t>
      </w:r>
      <w:r w:rsidR="00D775B4">
        <w:rPr>
          <w:rFonts w:ascii="Verdana" w:hAnsi="Verdana" w:cs="Arial"/>
          <w:sz w:val="24"/>
          <w:szCs w:val="24"/>
        </w:rPr>
        <w:tab/>
      </w:r>
      <w:r w:rsidR="00F40F8B">
        <w:rPr>
          <w:rFonts w:ascii="Verdana" w:hAnsi="Verdana" w:cs="Arial"/>
          <w:sz w:val="24"/>
          <w:szCs w:val="24"/>
        </w:rPr>
        <w:t xml:space="preserve">WAST undertook </w:t>
      </w:r>
      <w:r w:rsidR="00076E9C" w:rsidRPr="00E47A8D">
        <w:rPr>
          <w:rFonts w:ascii="Verdana" w:hAnsi="Verdana" w:cs="Arial"/>
          <w:sz w:val="24"/>
          <w:szCs w:val="24"/>
        </w:rPr>
        <w:t xml:space="preserve">innovative forecasting and modelling in support of the seasonal plan (winter) combining CoVID-19 forecasts with assumptions about core demand and other system variables.  </w:t>
      </w:r>
      <w:r w:rsidR="00951B06">
        <w:rPr>
          <w:rFonts w:ascii="Verdana" w:hAnsi="Verdana" w:cs="Arial"/>
          <w:sz w:val="24"/>
          <w:szCs w:val="24"/>
        </w:rPr>
        <w:t>A letter was sent (14 Oct-20) by the Trust CEO to health boards and Welsh Government on the patient safety results of this modelling</w:t>
      </w:r>
      <w:r w:rsidR="00076E9C" w:rsidRPr="00E47A8D">
        <w:rPr>
          <w:rFonts w:ascii="Verdana" w:hAnsi="Verdana" w:cs="Arial"/>
          <w:sz w:val="24"/>
          <w:szCs w:val="24"/>
        </w:rPr>
        <w:t>.</w:t>
      </w:r>
      <w:r w:rsidR="00F40F8B">
        <w:rPr>
          <w:rFonts w:ascii="Verdana" w:hAnsi="Verdana" w:cs="Arial"/>
          <w:sz w:val="24"/>
          <w:szCs w:val="24"/>
        </w:rPr>
        <w:t xml:space="preserve">  </w:t>
      </w:r>
      <w:r w:rsidR="00076E9C" w:rsidRPr="00E47A8D">
        <w:rPr>
          <w:rFonts w:ascii="Verdana" w:hAnsi="Verdana" w:cs="Arial"/>
          <w:sz w:val="24"/>
          <w:szCs w:val="24"/>
        </w:rPr>
        <w:t xml:space="preserve">The modelling focused on Dec-20, traditionally the month with the highest demand.  </w:t>
      </w:r>
      <w:r w:rsidR="00F40F8B">
        <w:rPr>
          <w:rFonts w:ascii="Verdana" w:hAnsi="Verdana" w:cs="Arial"/>
          <w:sz w:val="24"/>
          <w:szCs w:val="24"/>
        </w:rPr>
        <w:t>The modelling predicted Red 8 minute performance of 53% (actual 53.7%) and use of high levels of the DMP. WAST acted early on this information buying up S</w:t>
      </w:r>
      <w:r w:rsidR="00AF41B9">
        <w:rPr>
          <w:rFonts w:ascii="Verdana" w:hAnsi="Verdana" w:cs="Arial"/>
          <w:sz w:val="24"/>
          <w:szCs w:val="24"/>
        </w:rPr>
        <w:t xml:space="preserve">t John Ambulance </w:t>
      </w:r>
      <w:r w:rsidR="00F40F8B">
        <w:rPr>
          <w:rFonts w:ascii="Verdana" w:hAnsi="Verdana" w:cs="Arial"/>
          <w:sz w:val="24"/>
          <w:szCs w:val="24"/>
        </w:rPr>
        <w:t>capacity and preparing for re-engagement with the FRS and military.  The</w:t>
      </w:r>
      <w:r w:rsidR="00853351">
        <w:rPr>
          <w:rFonts w:ascii="Verdana" w:hAnsi="Verdana" w:cs="Arial"/>
          <w:sz w:val="24"/>
          <w:szCs w:val="24"/>
        </w:rPr>
        <w:t xml:space="preserve"> WAST Director of Operations has</w:t>
      </w:r>
      <w:r w:rsidR="00F40F8B">
        <w:rPr>
          <w:rFonts w:ascii="Verdana" w:hAnsi="Verdana" w:cs="Arial"/>
          <w:sz w:val="24"/>
          <w:szCs w:val="24"/>
        </w:rPr>
        <w:t xml:space="preserve"> requested that this forecasting, modelling and seasonal planning be undertaken for each quarter; the main focus is now in Aug-21 when WAST anticipates high seasonal demand (staycations) coupled with high abstractions (annual leave). </w:t>
      </w:r>
    </w:p>
    <w:p w14:paraId="04F1A029" w14:textId="77777777" w:rsidR="00F40F8B" w:rsidRPr="006B40A8" w:rsidRDefault="00F40F8B" w:rsidP="00D775B4">
      <w:pPr>
        <w:spacing w:after="0" w:line="240" w:lineRule="auto"/>
        <w:ind w:left="709" w:hanging="709"/>
        <w:jc w:val="both"/>
        <w:rPr>
          <w:rFonts w:ascii="Verdana" w:hAnsi="Verdana" w:cs="Arial"/>
          <w:sz w:val="24"/>
          <w:szCs w:val="24"/>
        </w:rPr>
      </w:pPr>
    </w:p>
    <w:p w14:paraId="449A08DB" w14:textId="77777777" w:rsidR="006B40A8" w:rsidRPr="006B40A8" w:rsidRDefault="00210BD1" w:rsidP="00D775B4">
      <w:pPr>
        <w:spacing w:after="0" w:line="240" w:lineRule="auto"/>
        <w:ind w:left="709" w:hanging="709"/>
        <w:jc w:val="both"/>
        <w:rPr>
          <w:rFonts w:ascii="Verdana" w:hAnsi="Verdana" w:cs="Arial"/>
          <w:sz w:val="24"/>
          <w:szCs w:val="24"/>
        </w:rPr>
      </w:pPr>
      <w:r>
        <w:rPr>
          <w:rFonts w:ascii="Verdana" w:hAnsi="Verdana" w:cs="Arial"/>
          <w:sz w:val="24"/>
          <w:szCs w:val="24"/>
        </w:rPr>
        <w:t>2.35</w:t>
      </w:r>
      <w:r>
        <w:rPr>
          <w:rFonts w:ascii="Verdana" w:hAnsi="Verdana" w:cs="Arial"/>
          <w:sz w:val="24"/>
          <w:szCs w:val="24"/>
        </w:rPr>
        <w:tab/>
      </w:r>
      <w:r w:rsidR="006B40A8" w:rsidRPr="006B40A8">
        <w:rPr>
          <w:rFonts w:ascii="Verdana" w:hAnsi="Verdana" w:cs="Arial"/>
          <w:sz w:val="24"/>
          <w:szCs w:val="24"/>
        </w:rPr>
        <w:t>The 2020/21 EMS and NEPTS commissioning intentions include the development of a “</w:t>
      </w:r>
      <w:r w:rsidR="006B40A8" w:rsidRPr="006B40A8">
        <w:rPr>
          <w:rFonts w:ascii="Verdana" w:hAnsi="Verdana"/>
          <w:b/>
          <w:sz w:val="24"/>
          <w:szCs w:val="24"/>
        </w:rPr>
        <w:t xml:space="preserve">Demand and Capacity Strategy” </w:t>
      </w:r>
      <w:r w:rsidR="006B40A8" w:rsidRPr="006B40A8">
        <w:rPr>
          <w:rFonts w:ascii="Verdana" w:hAnsi="Verdana"/>
          <w:sz w:val="24"/>
          <w:szCs w:val="24"/>
        </w:rPr>
        <w:t xml:space="preserve">- a collaboratively developed demand and capacity strategy will set out the ongoing arrangements for proactively undertaking this work for the next decade, this will include the use of forecasting, modelling and health economic evaluations.   </w:t>
      </w:r>
    </w:p>
    <w:p w14:paraId="645289BB" w14:textId="77777777" w:rsidR="006B40A8" w:rsidRPr="006B40A8" w:rsidRDefault="006B40A8" w:rsidP="00D775B4">
      <w:pPr>
        <w:spacing w:after="0" w:line="240" w:lineRule="auto"/>
        <w:ind w:left="709" w:hanging="709"/>
        <w:jc w:val="both"/>
        <w:rPr>
          <w:rFonts w:ascii="Verdana" w:hAnsi="Verdana" w:cs="Arial"/>
          <w:sz w:val="24"/>
          <w:szCs w:val="24"/>
        </w:rPr>
      </w:pPr>
    </w:p>
    <w:p w14:paraId="4D7AB269" w14:textId="521F7929"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Pr="00E47A8D" w:rsidRDefault="000873E6" w:rsidP="000873E6">
      <w:pPr>
        <w:pStyle w:val="ListParagraph"/>
        <w:spacing w:after="0" w:line="240" w:lineRule="auto"/>
        <w:ind w:left="502"/>
        <w:jc w:val="both"/>
        <w:rPr>
          <w:rFonts w:ascii="Verdana" w:eastAsia="Calibri" w:hAnsi="Verdana" w:cs="Arial"/>
          <w:sz w:val="24"/>
          <w:szCs w:val="24"/>
        </w:rPr>
      </w:pPr>
    </w:p>
    <w:p w14:paraId="4BBCCE1C" w14:textId="1FC29586" w:rsid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2.36</w:t>
      </w:r>
      <w:r>
        <w:rPr>
          <w:rFonts w:ascii="Verdana" w:eastAsia="Calibri" w:hAnsi="Verdana" w:cs="Arial"/>
          <w:sz w:val="24"/>
          <w:szCs w:val="24"/>
        </w:rPr>
        <w:tab/>
        <w:t>The Trust’s Q3/4 Operational Plan was based around the need to respond to the pandemic whilst continuing to deliver some of the medium term ambitions in the Trust’s pre-CoVID-19 2020/21 IMTP. All response actions were completed for the second wave, demonstrating the agility of the Trust and its operational plan to Respond Flexibly. A key success has been the ability to step up production despite significant challenges presented by CoVID-19 related abstractions during the peak of the second wave, working with students and partners in the FRS and military.  Some of the recovery actions which the Trust commenced in Q2 were paused during the second wave, but will now be incorporated into the Trust’s 2021-24 IMTP as year 1 actions.</w:t>
      </w:r>
    </w:p>
    <w:p w14:paraId="253BDC05" w14:textId="77777777" w:rsidR="000873E6" w:rsidRDefault="000873E6" w:rsidP="000873E6">
      <w:pPr>
        <w:spacing w:after="0" w:line="240" w:lineRule="auto"/>
        <w:ind w:left="709" w:hanging="709"/>
        <w:jc w:val="both"/>
        <w:rPr>
          <w:rFonts w:ascii="Verdana" w:eastAsia="Calibri" w:hAnsi="Verdana" w:cs="Arial"/>
          <w:sz w:val="24"/>
          <w:szCs w:val="24"/>
        </w:rPr>
      </w:pPr>
    </w:p>
    <w:p w14:paraId="0474691D" w14:textId="04598107" w:rsidR="000873E6" w:rsidRPr="000873E6" w:rsidRDefault="000873E6" w:rsidP="000873E6">
      <w:pPr>
        <w:spacing w:after="0" w:line="240" w:lineRule="auto"/>
        <w:ind w:left="709" w:hanging="709"/>
        <w:jc w:val="both"/>
        <w:rPr>
          <w:rFonts w:ascii="Verdana" w:eastAsia="Calibri" w:hAnsi="Verdana" w:cs="Arial"/>
          <w:sz w:val="24"/>
          <w:szCs w:val="24"/>
        </w:rPr>
      </w:pPr>
      <w:r w:rsidRPr="000873E6">
        <w:rPr>
          <w:rFonts w:ascii="Verdana" w:eastAsia="Calibri" w:hAnsi="Verdana" w:cs="Arial"/>
          <w:sz w:val="24"/>
          <w:szCs w:val="24"/>
        </w:rPr>
        <w:t>2.37</w:t>
      </w:r>
      <w:r w:rsidRPr="000873E6">
        <w:rPr>
          <w:rFonts w:ascii="Verdana" w:eastAsia="Calibri" w:hAnsi="Verdana" w:cs="Arial"/>
          <w:sz w:val="24"/>
          <w:szCs w:val="24"/>
        </w:rPr>
        <w:tab/>
        <w:t xml:space="preserve">The Trust is currently writing its 2021-24 IMTP and an advanced draft will be presented to EASC on </w:t>
      </w:r>
      <w:r>
        <w:rPr>
          <w:rFonts w:ascii="Verdana" w:eastAsia="Calibri" w:hAnsi="Verdana" w:cs="Arial"/>
          <w:sz w:val="24"/>
          <w:szCs w:val="24"/>
        </w:rPr>
        <w:t>0</w:t>
      </w:r>
      <w:r w:rsidRPr="000873E6">
        <w:rPr>
          <w:rFonts w:ascii="Verdana" w:eastAsia="Calibri" w:hAnsi="Verdana" w:cs="Arial"/>
          <w:sz w:val="24"/>
          <w:szCs w:val="24"/>
        </w:rPr>
        <w:t>9 Mar</w:t>
      </w:r>
      <w:r>
        <w:rPr>
          <w:rFonts w:ascii="Verdana" w:eastAsia="Calibri" w:hAnsi="Verdana" w:cs="Arial"/>
          <w:sz w:val="24"/>
          <w:szCs w:val="24"/>
        </w:rPr>
        <w:t>-21</w:t>
      </w:r>
      <w:r w:rsidRPr="000873E6">
        <w:rPr>
          <w:rFonts w:ascii="Verdana" w:eastAsia="Calibri" w:hAnsi="Verdana" w:cs="Arial"/>
          <w:sz w:val="24"/>
          <w:szCs w:val="24"/>
        </w:rPr>
        <w:t xml:space="preserve"> for endorsement. Whilst Welsh Government has indicated the need only for an Annual Plan, WAST is keen to maintain a line of sight to it long term strategy through a medium term plan and Welsh Government planning colleagues have indicated that they are comfortable with this approach.</w:t>
      </w:r>
    </w:p>
    <w:p w14:paraId="00F120FB" w14:textId="77777777" w:rsidR="000873E6" w:rsidRPr="000873E6" w:rsidRDefault="000873E6" w:rsidP="000873E6">
      <w:pPr>
        <w:spacing w:after="0" w:line="240" w:lineRule="auto"/>
        <w:jc w:val="both"/>
        <w:rPr>
          <w:rFonts w:ascii="Verdana" w:eastAsia="Calibri" w:hAnsi="Verdana" w:cs="Arial"/>
          <w:sz w:val="24"/>
          <w:szCs w:val="24"/>
        </w:rPr>
      </w:pPr>
    </w:p>
    <w:p w14:paraId="3D8AED70" w14:textId="5D58EBED" w:rsidR="000873E6" w:rsidRPr="000873E6" w:rsidRDefault="000873E6" w:rsidP="000873E6">
      <w:pPr>
        <w:spacing w:after="0" w:line="240" w:lineRule="auto"/>
        <w:ind w:left="709" w:hanging="709"/>
        <w:jc w:val="both"/>
        <w:rPr>
          <w:rFonts w:ascii="Verdana" w:eastAsia="Calibri" w:hAnsi="Verdana" w:cs="Arial"/>
          <w:sz w:val="24"/>
          <w:szCs w:val="24"/>
        </w:rPr>
      </w:pPr>
      <w:r w:rsidRPr="000873E6">
        <w:rPr>
          <w:rFonts w:ascii="Verdana" w:eastAsia="Calibri" w:hAnsi="Verdana" w:cs="Arial"/>
          <w:sz w:val="24"/>
          <w:szCs w:val="24"/>
        </w:rPr>
        <w:lastRenderedPageBreak/>
        <w:t>2.38</w:t>
      </w:r>
      <w:r w:rsidRPr="000873E6">
        <w:rPr>
          <w:rFonts w:ascii="Verdana" w:eastAsia="Calibri" w:hAnsi="Verdana" w:cs="Arial"/>
          <w:sz w:val="24"/>
          <w:szCs w:val="24"/>
        </w:rPr>
        <w:tab/>
        <w:t>The plan will set out actions for recovery and key programmes of work in year 1 of the plan, with further information about years 2 and 3 in an appendix. The IMTP will describe four integrated service offers which respond to the EMS and NEPTS commissioning intentions and support key work</w:t>
      </w:r>
      <w:r>
        <w:rPr>
          <w:rFonts w:ascii="Verdana" w:eastAsia="Calibri" w:hAnsi="Verdana" w:cs="Arial"/>
          <w:sz w:val="24"/>
          <w:szCs w:val="24"/>
        </w:rPr>
        <w:t>-</w:t>
      </w:r>
      <w:r w:rsidRPr="000873E6">
        <w:rPr>
          <w:rFonts w:ascii="Verdana" w:eastAsia="Calibri" w:hAnsi="Verdana" w:cs="Arial"/>
          <w:sz w:val="24"/>
          <w:szCs w:val="24"/>
        </w:rPr>
        <w:t xml:space="preserve">streams in the national primary and urgent care programmes. The focus will be very much on a </w:t>
      </w:r>
      <w:r>
        <w:rPr>
          <w:rFonts w:ascii="Verdana" w:eastAsia="Calibri" w:hAnsi="Verdana" w:cs="Arial"/>
          <w:sz w:val="24"/>
          <w:szCs w:val="24"/>
        </w:rPr>
        <w:t>“</w:t>
      </w:r>
      <w:r w:rsidRPr="000873E6">
        <w:rPr>
          <w:rFonts w:ascii="Verdana" w:eastAsia="Calibri" w:hAnsi="Verdana" w:cs="Arial"/>
          <w:sz w:val="24"/>
          <w:szCs w:val="24"/>
        </w:rPr>
        <w:t>shift left</w:t>
      </w:r>
      <w:r>
        <w:rPr>
          <w:rFonts w:ascii="Verdana" w:eastAsia="Calibri" w:hAnsi="Verdana" w:cs="Arial"/>
          <w:sz w:val="24"/>
          <w:szCs w:val="24"/>
        </w:rPr>
        <w:t>”</w:t>
      </w:r>
      <w:r w:rsidRPr="000873E6">
        <w:rPr>
          <w:rFonts w:ascii="Verdana" w:eastAsia="Calibri" w:hAnsi="Verdana" w:cs="Arial"/>
          <w:sz w:val="24"/>
          <w:szCs w:val="24"/>
        </w:rPr>
        <w:t xml:space="preserve"> in activity alongside increasing the capacity and capability across EMS, NEPTS and our call taking functions supported by a mobile urgent care offer that aims to see and treat more people at home or in the community without the need for secondary care conveyance.</w:t>
      </w:r>
    </w:p>
    <w:p w14:paraId="15C3BAA2" w14:textId="77777777" w:rsidR="000873E6" w:rsidRPr="000873E6" w:rsidRDefault="000873E6" w:rsidP="000873E6">
      <w:pPr>
        <w:spacing w:after="0" w:line="240" w:lineRule="auto"/>
        <w:jc w:val="both"/>
        <w:rPr>
          <w:rFonts w:ascii="Verdana" w:eastAsia="Calibri" w:hAnsi="Verdana" w:cs="Arial"/>
          <w:sz w:val="24"/>
          <w:szCs w:val="24"/>
        </w:rPr>
      </w:pPr>
    </w:p>
    <w:p w14:paraId="10DB88BC" w14:textId="79226228" w:rsidR="000873E6" w:rsidRPr="000873E6" w:rsidRDefault="000873E6" w:rsidP="000873E6">
      <w:pPr>
        <w:spacing w:after="0" w:line="240" w:lineRule="auto"/>
        <w:ind w:left="709" w:hanging="709"/>
        <w:jc w:val="both"/>
        <w:rPr>
          <w:rFonts w:ascii="Verdana" w:eastAsia="Calibri" w:hAnsi="Verdana" w:cs="Arial"/>
          <w:sz w:val="24"/>
          <w:szCs w:val="24"/>
        </w:rPr>
      </w:pPr>
      <w:r w:rsidRPr="000873E6">
        <w:rPr>
          <w:rFonts w:ascii="Verdana" w:eastAsia="Calibri" w:hAnsi="Verdana" w:cs="Arial"/>
          <w:sz w:val="24"/>
          <w:szCs w:val="24"/>
        </w:rPr>
        <w:t>2.39</w:t>
      </w:r>
      <w:r w:rsidRPr="000873E6">
        <w:rPr>
          <w:rFonts w:ascii="Verdana" w:eastAsia="Calibri" w:hAnsi="Verdana" w:cs="Arial"/>
          <w:sz w:val="24"/>
          <w:szCs w:val="24"/>
        </w:rPr>
        <w:tab/>
        <w:t xml:space="preserve">As well as a continuing theme around the quality, safety and experience that patients should expect </w:t>
      </w:r>
      <w:r>
        <w:rPr>
          <w:rFonts w:ascii="Verdana" w:eastAsia="Calibri" w:hAnsi="Verdana" w:cs="Arial"/>
          <w:sz w:val="24"/>
          <w:szCs w:val="24"/>
        </w:rPr>
        <w:t xml:space="preserve">there </w:t>
      </w:r>
      <w:r w:rsidRPr="000873E6">
        <w:rPr>
          <w:rFonts w:ascii="Verdana" w:eastAsia="Calibri" w:hAnsi="Verdana" w:cs="Arial"/>
          <w:sz w:val="24"/>
          <w:szCs w:val="24"/>
        </w:rPr>
        <w:t xml:space="preserve">will be clear messages about how we will support our colleagues in a post pandemic environment.  </w:t>
      </w:r>
    </w:p>
    <w:p w14:paraId="5247E413" w14:textId="77777777" w:rsidR="000873E6" w:rsidRPr="000873E6" w:rsidRDefault="000873E6" w:rsidP="000873E6">
      <w:pPr>
        <w:pStyle w:val="ListParagraph"/>
        <w:spacing w:after="0" w:line="240" w:lineRule="auto"/>
        <w:ind w:left="502"/>
        <w:jc w:val="both"/>
        <w:rPr>
          <w:rFonts w:ascii="Verdana" w:eastAsia="Calibri" w:hAnsi="Verdana" w:cs="Arial"/>
          <w:sz w:val="24"/>
          <w:szCs w:val="24"/>
        </w:rPr>
      </w:pPr>
    </w:p>
    <w:p w14:paraId="2B058F82" w14:textId="77777777" w:rsidR="000873E6" w:rsidRPr="000873E6" w:rsidRDefault="000873E6" w:rsidP="000873E6">
      <w:pPr>
        <w:pStyle w:val="ListParagraph"/>
        <w:spacing w:after="0" w:line="240" w:lineRule="auto"/>
        <w:ind w:left="709"/>
        <w:jc w:val="both"/>
        <w:rPr>
          <w:rFonts w:ascii="Verdana" w:eastAsia="Calibri" w:hAnsi="Verdana" w:cs="Arial"/>
          <w:sz w:val="24"/>
          <w:szCs w:val="24"/>
          <w:u w:val="single"/>
        </w:rPr>
      </w:pPr>
      <w:r w:rsidRPr="000873E6">
        <w:rPr>
          <w:rFonts w:ascii="Verdana" w:eastAsia="Calibri" w:hAnsi="Verdana" w:cs="Arial"/>
          <w:sz w:val="24"/>
          <w:szCs w:val="24"/>
          <w:u w:val="single"/>
        </w:rPr>
        <w:t xml:space="preserve">Health Board Changes </w:t>
      </w:r>
    </w:p>
    <w:p w14:paraId="0F5F4991" w14:textId="77777777" w:rsidR="000873E6" w:rsidRPr="000873E6" w:rsidRDefault="000873E6" w:rsidP="000873E6">
      <w:pPr>
        <w:pStyle w:val="ListParagraph"/>
        <w:spacing w:after="0" w:line="240" w:lineRule="auto"/>
        <w:rPr>
          <w:rFonts w:ascii="Verdana" w:hAnsi="Verdana" w:cs="Arial"/>
          <w:sz w:val="24"/>
          <w:szCs w:val="24"/>
        </w:rPr>
      </w:pPr>
    </w:p>
    <w:p w14:paraId="55960343" w14:textId="4EF8E891" w:rsidR="000873E6" w:rsidRPr="000873E6" w:rsidRDefault="000873E6" w:rsidP="000873E6">
      <w:pPr>
        <w:spacing w:after="0" w:line="240" w:lineRule="auto"/>
        <w:ind w:left="709" w:hanging="709"/>
        <w:jc w:val="both"/>
        <w:rPr>
          <w:rFonts w:ascii="Verdana" w:eastAsia="Calibri" w:hAnsi="Verdana" w:cs="Arial"/>
          <w:sz w:val="24"/>
          <w:szCs w:val="24"/>
        </w:rPr>
      </w:pPr>
      <w:r w:rsidRPr="000873E6">
        <w:rPr>
          <w:rFonts w:ascii="Verdana" w:eastAsia="Calibri" w:hAnsi="Verdana" w:cs="Arial"/>
          <w:sz w:val="24"/>
          <w:szCs w:val="24"/>
        </w:rPr>
        <w:t>2.40</w:t>
      </w:r>
      <w:r w:rsidRPr="000873E6">
        <w:rPr>
          <w:rFonts w:ascii="Verdana" w:eastAsia="Calibri" w:hAnsi="Verdana" w:cs="Arial"/>
          <w:sz w:val="24"/>
          <w:szCs w:val="24"/>
        </w:rPr>
        <w:tab/>
        <w:t>The Grange University Hospital inter-site transf</w:t>
      </w:r>
      <w:r>
        <w:rPr>
          <w:rFonts w:ascii="Verdana" w:eastAsia="Calibri" w:hAnsi="Verdana" w:cs="Arial"/>
          <w:sz w:val="24"/>
          <w:szCs w:val="24"/>
        </w:rPr>
        <w:t>er service went live in Nov-</w:t>
      </w:r>
      <w:r w:rsidRPr="000873E6">
        <w:rPr>
          <w:rFonts w:ascii="Verdana" w:eastAsia="Calibri" w:hAnsi="Verdana" w:cs="Arial"/>
          <w:sz w:val="24"/>
          <w:szCs w:val="24"/>
        </w:rPr>
        <w:t>20.</w:t>
      </w:r>
      <w:r w:rsidR="0086070F">
        <w:rPr>
          <w:rFonts w:ascii="Verdana" w:eastAsia="Calibri" w:hAnsi="Verdana" w:cs="Arial"/>
          <w:sz w:val="24"/>
          <w:szCs w:val="24"/>
        </w:rPr>
        <w:t xml:space="preserve"> The service consists of one</w:t>
      </w:r>
      <w:r w:rsidRPr="000873E6">
        <w:rPr>
          <w:rFonts w:ascii="Verdana" w:eastAsia="Calibri" w:hAnsi="Verdana" w:cs="Arial"/>
          <w:sz w:val="24"/>
          <w:szCs w:val="24"/>
        </w:rPr>
        <w:t xml:space="preserve"> additional 12/7 </w:t>
      </w:r>
      <w:r>
        <w:rPr>
          <w:rFonts w:ascii="Verdana" w:eastAsia="Calibri" w:hAnsi="Verdana" w:cs="Arial"/>
          <w:sz w:val="24"/>
          <w:szCs w:val="24"/>
        </w:rPr>
        <w:t>emergency ambulance (</w:t>
      </w:r>
      <w:r w:rsidRPr="000873E6">
        <w:rPr>
          <w:rFonts w:ascii="Verdana" w:eastAsia="Calibri" w:hAnsi="Verdana" w:cs="Arial"/>
          <w:sz w:val="24"/>
          <w:szCs w:val="24"/>
        </w:rPr>
        <w:t>EA</w:t>
      </w:r>
      <w:r>
        <w:rPr>
          <w:rFonts w:ascii="Verdana" w:eastAsia="Calibri" w:hAnsi="Verdana" w:cs="Arial"/>
          <w:sz w:val="24"/>
          <w:szCs w:val="24"/>
        </w:rPr>
        <w:t>)</w:t>
      </w:r>
      <w:r w:rsidRPr="000873E6">
        <w:rPr>
          <w:rFonts w:ascii="Verdana" w:eastAsia="Calibri" w:hAnsi="Verdana" w:cs="Arial"/>
          <w:sz w:val="24"/>
          <w:szCs w:val="24"/>
        </w:rPr>
        <w:t xml:space="preserve"> into the EMS fleet to provide additional capacity for transfers that fa</w:t>
      </w:r>
      <w:r>
        <w:rPr>
          <w:rFonts w:ascii="Verdana" w:eastAsia="Calibri" w:hAnsi="Verdana" w:cs="Arial"/>
          <w:sz w:val="24"/>
          <w:szCs w:val="24"/>
        </w:rPr>
        <w:t>ll into the Red or high acuity A</w:t>
      </w:r>
      <w:r w:rsidR="0086070F">
        <w:rPr>
          <w:rFonts w:ascii="Verdana" w:eastAsia="Calibri" w:hAnsi="Verdana" w:cs="Arial"/>
          <w:sz w:val="24"/>
          <w:szCs w:val="24"/>
        </w:rPr>
        <w:t>mber categories, one</w:t>
      </w:r>
      <w:r w:rsidRPr="000873E6">
        <w:rPr>
          <w:rFonts w:ascii="Verdana" w:eastAsia="Calibri" w:hAnsi="Verdana" w:cs="Arial"/>
          <w:sz w:val="24"/>
          <w:szCs w:val="24"/>
        </w:rPr>
        <w:t xml:space="preserve"> dedicated transfer vehicle 12/7 for ABUHB transfer </w:t>
      </w:r>
      <w:r w:rsidR="0086070F">
        <w:rPr>
          <w:rFonts w:ascii="Verdana" w:eastAsia="Calibri" w:hAnsi="Verdana" w:cs="Arial"/>
          <w:sz w:val="24"/>
          <w:szCs w:val="24"/>
        </w:rPr>
        <w:t>practitioner led transfers and nine</w:t>
      </w:r>
      <w:r w:rsidRPr="000873E6">
        <w:rPr>
          <w:rFonts w:ascii="Verdana" w:eastAsia="Calibri" w:hAnsi="Verdana" w:cs="Arial"/>
          <w:sz w:val="24"/>
          <w:szCs w:val="24"/>
        </w:rPr>
        <w:t xml:space="preserve"> flexible transfer vehicles which provide step up and step down tran</w:t>
      </w:r>
      <w:r w:rsidR="0086070F">
        <w:rPr>
          <w:rFonts w:ascii="Verdana" w:eastAsia="Calibri" w:hAnsi="Verdana" w:cs="Arial"/>
          <w:sz w:val="24"/>
          <w:szCs w:val="24"/>
        </w:rPr>
        <w:t>sfers, crewed by band 3 crews, three</w:t>
      </w:r>
      <w:r w:rsidRPr="000873E6">
        <w:rPr>
          <w:rFonts w:ascii="Verdana" w:eastAsia="Calibri" w:hAnsi="Verdana" w:cs="Arial"/>
          <w:sz w:val="24"/>
          <w:szCs w:val="24"/>
        </w:rPr>
        <w:t xml:space="preserve"> of which operate 24/7. Whilst there have been some early process issues, there are many positive lessons to be drawn from the service to inform the development of a national transfer and discharge model.</w:t>
      </w:r>
    </w:p>
    <w:p w14:paraId="7707F508" w14:textId="77777777" w:rsidR="000873E6" w:rsidRPr="000873E6" w:rsidRDefault="000873E6" w:rsidP="000873E6">
      <w:pPr>
        <w:pStyle w:val="ListParagraph"/>
        <w:spacing w:after="0" w:line="240" w:lineRule="auto"/>
        <w:ind w:left="0"/>
        <w:jc w:val="both"/>
        <w:rPr>
          <w:rFonts w:ascii="Verdana" w:eastAsia="Calibri" w:hAnsi="Verdana" w:cs="Arial"/>
          <w:sz w:val="24"/>
          <w:szCs w:val="24"/>
        </w:rPr>
      </w:pPr>
    </w:p>
    <w:p w14:paraId="07502FFE" w14:textId="2775996F" w:rsidR="000873E6" w:rsidRP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2.41</w:t>
      </w:r>
      <w:r w:rsidRPr="000873E6">
        <w:rPr>
          <w:rFonts w:ascii="Verdana" w:eastAsia="Calibri" w:hAnsi="Verdana" w:cs="Arial"/>
          <w:sz w:val="24"/>
          <w:szCs w:val="24"/>
        </w:rPr>
        <w:tab/>
        <w:t xml:space="preserve">The South Wales Trauma Network </w:t>
      </w:r>
      <w:r w:rsidR="005A6A95">
        <w:rPr>
          <w:rFonts w:ascii="Verdana" w:eastAsia="Calibri" w:hAnsi="Verdana" w:cs="Arial"/>
          <w:sz w:val="24"/>
          <w:szCs w:val="24"/>
        </w:rPr>
        <w:t xml:space="preserve">(MTN) </w:t>
      </w:r>
      <w:r w:rsidRPr="000873E6">
        <w:rPr>
          <w:rFonts w:ascii="Verdana" w:eastAsia="Calibri" w:hAnsi="Verdana" w:cs="Arial"/>
          <w:sz w:val="24"/>
          <w:szCs w:val="24"/>
        </w:rPr>
        <w:t>went live in Sep</w:t>
      </w:r>
      <w:r w:rsidR="0086070F">
        <w:rPr>
          <w:rFonts w:ascii="Verdana" w:eastAsia="Calibri" w:hAnsi="Verdana" w:cs="Arial"/>
          <w:sz w:val="24"/>
          <w:szCs w:val="24"/>
        </w:rPr>
        <w:t>-</w:t>
      </w:r>
      <w:r w:rsidRPr="000873E6">
        <w:rPr>
          <w:rFonts w:ascii="Verdana" w:eastAsia="Calibri" w:hAnsi="Verdana" w:cs="Arial"/>
          <w:sz w:val="24"/>
          <w:szCs w:val="24"/>
        </w:rPr>
        <w:t>20. WAST is now working with the network to ensure the reporting arrangements into WHSSC and EASC are in place which fully demonstrate the benefits set out in the business case. This will form part of the overall network report into the South Wales MTN D</w:t>
      </w:r>
      <w:r w:rsidR="005A6A95">
        <w:rPr>
          <w:rFonts w:ascii="Verdana" w:eastAsia="Calibri" w:hAnsi="Verdana" w:cs="Arial"/>
          <w:sz w:val="24"/>
          <w:szCs w:val="24"/>
        </w:rPr>
        <w:t>elivery Assurance Group</w:t>
      </w:r>
      <w:r w:rsidRPr="000873E6">
        <w:rPr>
          <w:rFonts w:ascii="Verdana" w:eastAsia="Calibri" w:hAnsi="Verdana" w:cs="Arial"/>
          <w:sz w:val="24"/>
          <w:szCs w:val="24"/>
        </w:rPr>
        <w:t>. An evaluation of the WAST elements of the network is planned in quarter 1 2021/22.</w:t>
      </w:r>
    </w:p>
    <w:p w14:paraId="2A4DCEF5" w14:textId="77777777" w:rsidR="000873E6" w:rsidRPr="000873E6" w:rsidRDefault="000873E6" w:rsidP="000873E6">
      <w:pPr>
        <w:pStyle w:val="ListParagraph"/>
        <w:spacing w:after="0" w:line="240" w:lineRule="auto"/>
        <w:ind w:left="0"/>
        <w:rPr>
          <w:rFonts w:ascii="Verdana" w:eastAsia="Calibri" w:hAnsi="Verdana" w:cs="Arial"/>
          <w:sz w:val="24"/>
          <w:szCs w:val="24"/>
        </w:rPr>
      </w:pPr>
    </w:p>
    <w:p w14:paraId="060962E0" w14:textId="52FBE35E" w:rsidR="000873E6" w:rsidRP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Pr="000873E6">
        <w:rPr>
          <w:rFonts w:ascii="Verdana" w:eastAsia="Calibri" w:hAnsi="Verdana" w:cs="Arial"/>
          <w:sz w:val="24"/>
          <w:szCs w:val="24"/>
        </w:rPr>
        <w:tab/>
        <w:t>There is ongoing discussion about a bridging solution for the critical care network ahead of the go live of the EMRTS critical care transfer service. WAST will potentially use its 365 platform to secure a solution, subject to agreement on funding.</w:t>
      </w:r>
    </w:p>
    <w:p w14:paraId="3122E4FF" w14:textId="77777777" w:rsidR="000873E6" w:rsidRDefault="000873E6" w:rsidP="000873E6">
      <w:pPr>
        <w:spacing w:after="0" w:line="240" w:lineRule="auto"/>
        <w:ind w:left="709" w:hanging="709"/>
        <w:jc w:val="both"/>
        <w:rPr>
          <w:rFonts w:ascii="Verdana" w:eastAsia="Calibri" w:hAnsi="Verdana" w:cs="Arial"/>
          <w:sz w:val="24"/>
          <w:szCs w:val="24"/>
        </w:rPr>
      </w:pPr>
    </w:p>
    <w:p w14:paraId="658BF2BE" w14:textId="77777777" w:rsidR="005A6A95" w:rsidRDefault="005A6A95" w:rsidP="000873E6">
      <w:pPr>
        <w:spacing w:after="0" w:line="240" w:lineRule="auto"/>
        <w:ind w:left="709" w:hanging="709"/>
        <w:jc w:val="both"/>
        <w:rPr>
          <w:rFonts w:ascii="Verdana" w:eastAsia="Calibri" w:hAnsi="Verdana" w:cs="Arial"/>
          <w:sz w:val="24"/>
          <w:szCs w:val="24"/>
        </w:rPr>
      </w:pPr>
    </w:p>
    <w:p w14:paraId="44EC3E70" w14:textId="77777777" w:rsidR="005A6A95" w:rsidRPr="000873E6" w:rsidRDefault="005A6A95" w:rsidP="000873E6">
      <w:pPr>
        <w:spacing w:after="0" w:line="240" w:lineRule="auto"/>
        <w:ind w:left="709" w:hanging="709"/>
        <w:jc w:val="both"/>
        <w:rPr>
          <w:rFonts w:ascii="Verdana" w:eastAsia="Calibri" w:hAnsi="Verdana" w:cs="Arial"/>
          <w:sz w:val="24"/>
          <w:szCs w:val="24"/>
        </w:rPr>
      </w:pPr>
    </w:p>
    <w:p w14:paraId="22B7D844" w14:textId="08523A1C" w:rsidR="000873E6" w:rsidRP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2.43</w:t>
      </w:r>
      <w:r w:rsidRPr="000873E6">
        <w:rPr>
          <w:rFonts w:ascii="Verdana" w:eastAsia="Calibri" w:hAnsi="Verdana" w:cs="Arial"/>
          <w:sz w:val="24"/>
          <w:szCs w:val="24"/>
        </w:rPr>
        <w:tab/>
        <w:t xml:space="preserve">WAST increased the hours of operation of the CHANTS service (neonatal </w:t>
      </w:r>
      <w:r w:rsidR="0086070F">
        <w:rPr>
          <w:rFonts w:ascii="Verdana" w:eastAsia="Calibri" w:hAnsi="Verdana" w:cs="Arial"/>
          <w:sz w:val="24"/>
          <w:szCs w:val="24"/>
        </w:rPr>
        <w:t>transfers) to 24/7 from Nov-</w:t>
      </w:r>
      <w:r w:rsidRPr="000873E6">
        <w:rPr>
          <w:rFonts w:ascii="Verdana" w:eastAsia="Calibri" w:hAnsi="Verdana" w:cs="Arial"/>
          <w:sz w:val="24"/>
          <w:szCs w:val="24"/>
        </w:rPr>
        <w:t>20 ahead of the commissioning of a permanent 24/7 Neonatal Network transfer service in South Wales later this year.</w:t>
      </w:r>
    </w:p>
    <w:p w14:paraId="01F06314" w14:textId="77777777" w:rsidR="000873E6" w:rsidRPr="000873E6" w:rsidRDefault="000873E6" w:rsidP="000873E6">
      <w:pPr>
        <w:pStyle w:val="ListParagraph"/>
        <w:spacing w:after="0" w:line="240" w:lineRule="auto"/>
        <w:ind w:left="502"/>
        <w:jc w:val="both"/>
        <w:rPr>
          <w:rFonts w:ascii="Verdana" w:eastAsia="Calibri" w:hAnsi="Verdana" w:cs="Arial"/>
          <w:sz w:val="24"/>
          <w:szCs w:val="24"/>
        </w:rPr>
      </w:pPr>
    </w:p>
    <w:p w14:paraId="7E15967B" w14:textId="77777777" w:rsidR="000873E6" w:rsidRPr="000873E6" w:rsidRDefault="000873E6" w:rsidP="000873E6">
      <w:pPr>
        <w:pStyle w:val="ListParagraph"/>
        <w:spacing w:after="0" w:line="240" w:lineRule="auto"/>
        <w:ind w:left="709"/>
        <w:jc w:val="both"/>
        <w:rPr>
          <w:rFonts w:ascii="Verdana" w:eastAsia="Calibri" w:hAnsi="Verdana" w:cs="Arial"/>
          <w:sz w:val="24"/>
          <w:szCs w:val="24"/>
          <w:u w:val="single"/>
        </w:rPr>
      </w:pPr>
      <w:r w:rsidRPr="000873E6">
        <w:rPr>
          <w:rFonts w:ascii="Verdana" w:eastAsia="Calibri" w:hAnsi="Verdana" w:cs="Arial"/>
          <w:sz w:val="24"/>
          <w:szCs w:val="24"/>
          <w:u w:val="single"/>
        </w:rPr>
        <w:t>Leading Changes across Wales</w:t>
      </w:r>
    </w:p>
    <w:p w14:paraId="1D3AF0F0" w14:textId="77777777" w:rsidR="000873E6" w:rsidRPr="000873E6" w:rsidRDefault="000873E6" w:rsidP="000873E6">
      <w:pPr>
        <w:pStyle w:val="ListParagraph"/>
        <w:spacing w:after="0" w:line="240" w:lineRule="auto"/>
        <w:ind w:left="502"/>
        <w:jc w:val="both"/>
        <w:rPr>
          <w:rFonts w:ascii="Verdana" w:eastAsia="Calibri" w:hAnsi="Verdana" w:cs="Arial"/>
          <w:sz w:val="24"/>
          <w:szCs w:val="24"/>
        </w:rPr>
      </w:pPr>
    </w:p>
    <w:p w14:paraId="7939E227" w14:textId="3BA878D9" w:rsid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2.44</w:t>
      </w:r>
      <w:r w:rsidRPr="000873E6">
        <w:rPr>
          <w:rFonts w:ascii="Verdana" w:eastAsia="Calibri" w:hAnsi="Verdana" w:cs="Arial"/>
          <w:sz w:val="24"/>
          <w:szCs w:val="24"/>
        </w:rPr>
        <w:tab/>
        <w:t>The Trust continues to lead important programmes within WAST and nationally for the benefit of NHS Wales:</w:t>
      </w:r>
      <w:r>
        <w:rPr>
          <w:rFonts w:ascii="Verdana" w:eastAsia="Calibri" w:hAnsi="Verdana" w:cs="Arial"/>
          <w:sz w:val="24"/>
          <w:szCs w:val="24"/>
        </w:rPr>
        <w:t>-</w:t>
      </w:r>
    </w:p>
    <w:p w14:paraId="19BE7C05" w14:textId="77777777" w:rsidR="000873E6" w:rsidRPr="000873E6" w:rsidRDefault="000873E6" w:rsidP="000873E6">
      <w:pPr>
        <w:spacing w:after="0" w:line="240" w:lineRule="auto"/>
        <w:ind w:left="709" w:hanging="709"/>
        <w:jc w:val="both"/>
        <w:rPr>
          <w:rFonts w:ascii="Verdana" w:eastAsia="Calibri" w:hAnsi="Verdana" w:cs="Arial"/>
          <w:sz w:val="24"/>
          <w:szCs w:val="24"/>
        </w:rPr>
      </w:pPr>
    </w:p>
    <w:p w14:paraId="3CA5F07F" w14:textId="77777777" w:rsidR="000873E6" w:rsidRPr="000873E6" w:rsidRDefault="000873E6" w:rsidP="000873E6">
      <w:pPr>
        <w:pStyle w:val="ListParagraph"/>
        <w:numPr>
          <w:ilvl w:val="0"/>
          <w:numId w:val="21"/>
        </w:numPr>
        <w:spacing w:after="0" w:line="240" w:lineRule="auto"/>
        <w:jc w:val="both"/>
        <w:rPr>
          <w:rFonts w:ascii="Verdana" w:eastAsia="Calibri" w:hAnsi="Verdana" w:cs="Arial"/>
          <w:sz w:val="24"/>
          <w:szCs w:val="24"/>
        </w:rPr>
      </w:pPr>
      <w:r w:rsidRPr="000873E6">
        <w:rPr>
          <w:rFonts w:ascii="Verdana" w:eastAsia="Calibri" w:hAnsi="Verdana" w:cs="Arial"/>
          <w:sz w:val="24"/>
          <w:szCs w:val="24"/>
        </w:rPr>
        <w:t>WAST continues to provide mobile testing unit capacity across Wales with its surge capacity contract extended into 2021/22.</w:t>
      </w:r>
    </w:p>
    <w:p w14:paraId="45081B91" w14:textId="77777777" w:rsidR="000873E6" w:rsidRPr="000873E6" w:rsidRDefault="000873E6" w:rsidP="000873E6">
      <w:pPr>
        <w:pStyle w:val="ListParagraph"/>
        <w:numPr>
          <w:ilvl w:val="0"/>
          <w:numId w:val="21"/>
        </w:numPr>
        <w:spacing w:after="0" w:line="240" w:lineRule="auto"/>
        <w:jc w:val="both"/>
        <w:rPr>
          <w:rFonts w:ascii="Verdana" w:eastAsia="Calibri" w:hAnsi="Verdana" w:cs="Arial"/>
          <w:sz w:val="24"/>
          <w:szCs w:val="24"/>
        </w:rPr>
      </w:pPr>
      <w:r w:rsidRPr="000873E6">
        <w:rPr>
          <w:rFonts w:ascii="Verdana" w:eastAsia="Calibri" w:hAnsi="Verdana" w:cs="Arial"/>
          <w:sz w:val="24"/>
          <w:szCs w:val="24"/>
        </w:rPr>
        <w:t>Contact First (previously referred to as Phone First) has continued and has gone live in Aneurin Bevan and Swansea Bay Health Board areas. This has led to an expansion of the workforce and an expansion of the 111 footprint within our estate, notably Vantage Point House in the South East region.</w:t>
      </w:r>
    </w:p>
    <w:p w14:paraId="631664F0" w14:textId="77777777" w:rsidR="000873E6" w:rsidRPr="000873E6" w:rsidRDefault="000873E6" w:rsidP="000873E6">
      <w:pPr>
        <w:pStyle w:val="ListParagraph"/>
        <w:numPr>
          <w:ilvl w:val="0"/>
          <w:numId w:val="21"/>
        </w:numPr>
        <w:spacing w:after="0" w:line="240" w:lineRule="auto"/>
        <w:jc w:val="both"/>
        <w:rPr>
          <w:rFonts w:ascii="Verdana" w:eastAsia="Calibri" w:hAnsi="Verdana" w:cs="Arial"/>
          <w:sz w:val="24"/>
          <w:szCs w:val="24"/>
        </w:rPr>
      </w:pPr>
      <w:r w:rsidRPr="000873E6">
        <w:rPr>
          <w:rFonts w:ascii="Verdana" w:eastAsia="Calibri" w:hAnsi="Verdana" w:cs="Arial"/>
          <w:sz w:val="24"/>
          <w:szCs w:val="24"/>
        </w:rPr>
        <w:t>The Operational Delivery Unit continues to function providing minute by minute system leadership and patient safety oversight across Wales. A case for continued recurrent investment forms part of the Trust’s IMTP offer for 2021/22 and beyond.</w:t>
      </w:r>
    </w:p>
    <w:p w14:paraId="6D2B2E2A" w14:textId="77777777" w:rsidR="000873E6" w:rsidRPr="000873E6" w:rsidRDefault="000873E6" w:rsidP="000873E6">
      <w:pPr>
        <w:pStyle w:val="ListParagraph"/>
        <w:spacing w:after="0" w:line="240" w:lineRule="auto"/>
        <w:ind w:left="0"/>
        <w:jc w:val="both"/>
        <w:rPr>
          <w:rFonts w:ascii="Verdana" w:eastAsia="Calibri" w:hAnsi="Verdana" w:cs="Arial"/>
          <w:sz w:val="24"/>
          <w:szCs w:val="24"/>
        </w:rPr>
      </w:pPr>
    </w:p>
    <w:p w14:paraId="2C96FF70" w14:textId="3337EE0C" w:rsidR="000873E6" w:rsidRPr="000873E6" w:rsidRDefault="000873E6" w:rsidP="000873E6">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2.45</w:t>
      </w:r>
      <w:r w:rsidRPr="000873E6">
        <w:rPr>
          <w:rFonts w:ascii="Verdana" w:eastAsia="Calibri" w:hAnsi="Verdana" w:cs="Arial"/>
          <w:sz w:val="24"/>
          <w:szCs w:val="24"/>
        </w:rPr>
        <w:tab/>
        <w:t>Phase one of the Trust’s updated offer around community respiratory pathways has been completed. All seven health boards have provided readiness assessments to determine the phasing of the next stage of rollout of the pathway, originally pilo</w:t>
      </w:r>
      <w:r w:rsidR="0086070F">
        <w:rPr>
          <w:rFonts w:ascii="Verdana" w:eastAsia="Calibri" w:hAnsi="Verdana" w:cs="Arial"/>
          <w:sz w:val="24"/>
          <w:szCs w:val="24"/>
        </w:rPr>
        <w:t>ted in Aneurin Bevan in Feb-</w:t>
      </w:r>
      <w:r w:rsidRPr="000873E6">
        <w:rPr>
          <w:rFonts w:ascii="Verdana" w:eastAsia="Calibri" w:hAnsi="Verdana" w:cs="Arial"/>
          <w:sz w:val="24"/>
          <w:szCs w:val="24"/>
        </w:rPr>
        <w:t>20. This will form part of the Trust’s mobile urgent care offer to the unscheduled care system and in support of our “shift left” ambition and will pave the way for further work to support additional condition pathways in future. A case for investment forms part of the Trust’s IMTP offer for 2021/22.</w:t>
      </w:r>
    </w:p>
    <w:p w14:paraId="1179FD6F" w14:textId="77777777" w:rsidR="000873E6" w:rsidRDefault="000873E6" w:rsidP="000873E6">
      <w:pPr>
        <w:pStyle w:val="ListParagraph"/>
        <w:spacing w:after="0" w:line="240" w:lineRule="auto"/>
        <w:ind w:left="993"/>
        <w:jc w:val="both"/>
        <w:rPr>
          <w:rFonts w:ascii="Verdana" w:hAnsi="Verdana" w:cstheme="minorHAnsi"/>
          <w:sz w:val="24"/>
        </w:rPr>
      </w:pPr>
    </w:p>
    <w:p w14:paraId="0FFC4313" w14:textId="2BA59080" w:rsidR="000873E6" w:rsidRPr="0017112C" w:rsidRDefault="000873E6" w:rsidP="000873E6">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WAST estimates it will deliver all of the planned 136 FTE </w:t>
      </w:r>
      <w:r w:rsidR="0086070F">
        <w:rPr>
          <w:rFonts w:ascii="Verdana" w:hAnsi="Verdana"/>
          <w:b/>
          <w:sz w:val="24"/>
          <w:szCs w:val="24"/>
        </w:rPr>
        <w:t xml:space="preserve">2020/21 </w:t>
      </w:r>
      <w:r>
        <w:rPr>
          <w:rFonts w:ascii="Verdana" w:hAnsi="Verdana"/>
          <w:b/>
          <w:sz w:val="24"/>
          <w:szCs w:val="24"/>
        </w:rPr>
        <w:t xml:space="preserve">additionality for the EMS Demand &amp; Capacity Programme; WAST has clear plans in place for year 2 (2021/22) of the programme; the estate may be a strategic risk to the programme (with a </w:t>
      </w:r>
      <w:r w:rsidR="0086070F">
        <w:rPr>
          <w:rFonts w:ascii="Verdana" w:hAnsi="Verdana"/>
          <w:b/>
          <w:sz w:val="24"/>
          <w:szCs w:val="24"/>
        </w:rPr>
        <w:t xml:space="preserve">draft </w:t>
      </w:r>
      <w:r>
        <w:rPr>
          <w:rFonts w:ascii="Verdana" w:hAnsi="Verdana"/>
          <w:b/>
          <w:sz w:val="24"/>
          <w:szCs w:val="24"/>
        </w:rPr>
        <w:t xml:space="preserve">contingency plan in place to address this); WAST has made good progress on forecasting and modelling in general and expects to collaboratively build on this in 2021/22; </w:t>
      </w:r>
      <w:r w:rsidRPr="000873E6">
        <w:rPr>
          <w:rFonts w:ascii="Verdana" w:hAnsi="Verdana"/>
          <w:b/>
          <w:sz w:val="24"/>
          <w:szCs w:val="24"/>
        </w:rPr>
        <w:t>the Trust is currently finalising its IMTP for 2021-24; there has been significant progress in delivery of key programmes of work and the Trust’s Q3/4 Operational Plan.</w:t>
      </w:r>
      <w:r>
        <w:rPr>
          <w:rFonts w:ascii="Verdana" w:hAnsi="Verdana"/>
          <w:b/>
          <w:sz w:val="24"/>
          <w:szCs w:val="24"/>
        </w:rPr>
        <w:t xml:space="preserve"> </w:t>
      </w:r>
    </w:p>
    <w:p w14:paraId="298227D3" w14:textId="40B051D9" w:rsidR="000873E6" w:rsidRDefault="000873E6" w:rsidP="000873E6">
      <w:pPr>
        <w:spacing w:after="0" w:line="240" w:lineRule="auto"/>
        <w:jc w:val="both"/>
        <w:rPr>
          <w:rFonts w:ascii="Verdana" w:eastAsia="Calibri" w:hAnsi="Verdana" w:cs="Arial"/>
          <w:sz w:val="24"/>
          <w:szCs w:val="24"/>
        </w:rPr>
      </w:pPr>
    </w:p>
    <w:p w14:paraId="3624193E" w14:textId="77777777" w:rsidR="005A6A95" w:rsidRDefault="005A6A95" w:rsidP="000873E6">
      <w:pPr>
        <w:spacing w:after="0" w:line="240" w:lineRule="auto"/>
        <w:jc w:val="both"/>
        <w:rPr>
          <w:rFonts w:ascii="Verdana" w:eastAsia="Calibri" w:hAnsi="Verdana" w:cs="Arial"/>
          <w:sz w:val="24"/>
          <w:szCs w:val="24"/>
        </w:rPr>
      </w:pPr>
    </w:p>
    <w:p w14:paraId="02F3BCB9" w14:textId="77777777" w:rsidR="00076E9C" w:rsidRPr="00165F24" w:rsidRDefault="00076E9C" w:rsidP="00255EF1">
      <w:pPr>
        <w:spacing w:after="0" w:line="240" w:lineRule="auto"/>
        <w:ind w:left="709"/>
        <w:jc w:val="both"/>
        <w:rPr>
          <w:rFonts w:ascii="Verdana" w:hAnsi="Verdana" w:cs="Arial"/>
          <w:b/>
          <w:sz w:val="24"/>
          <w:szCs w:val="24"/>
        </w:rPr>
      </w:pPr>
      <w:r w:rsidRPr="00165F24">
        <w:rPr>
          <w:rFonts w:ascii="Verdana" w:hAnsi="Verdana" w:cs="Arial"/>
          <w:b/>
          <w:sz w:val="24"/>
          <w:szCs w:val="24"/>
        </w:rPr>
        <w:lastRenderedPageBreak/>
        <w:t>Conclusion</w:t>
      </w:r>
      <w:r w:rsidR="0012771F">
        <w:rPr>
          <w:rFonts w:ascii="Verdana" w:hAnsi="Verdana" w:cs="Arial"/>
          <w:b/>
          <w:sz w:val="24"/>
          <w:szCs w:val="24"/>
        </w:rPr>
        <w:t>s</w:t>
      </w:r>
      <w:r w:rsidRPr="00165F24">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145C16A4"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2.54</w:t>
      </w:r>
      <w:r w:rsidR="00136F21">
        <w:rPr>
          <w:rFonts w:ascii="Verdana" w:hAnsi="Verdana" w:cs="Arial"/>
          <w:sz w:val="24"/>
          <w:szCs w:val="24"/>
        </w:rPr>
        <w:tab/>
      </w:r>
      <w:r w:rsidR="00726EB0">
        <w:rPr>
          <w:rFonts w:ascii="Verdana" w:hAnsi="Verdana" w:cs="Arial"/>
          <w:sz w:val="24"/>
          <w:szCs w:val="24"/>
        </w:rPr>
        <w:t>WAST</w:t>
      </w:r>
      <w:r w:rsidR="00A22E93">
        <w:rPr>
          <w:rFonts w:ascii="Verdana" w:hAnsi="Verdana" w:cs="Arial"/>
          <w:sz w:val="24"/>
          <w:szCs w:val="24"/>
        </w:rPr>
        <w:t xml:space="preserve"> predicted how difficult Dec-20 was going to be. WAST was prepared and had put in place a range of mitigations and re-engaged with the F</w:t>
      </w:r>
      <w:r w:rsidR="005A6A95">
        <w:rPr>
          <w:rFonts w:ascii="Verdana" w:hAnsi="Verdana" w:cs="Arial"/>
          <w:sz w:val="24"/>
          <w:szCs w:val="24"/>
        </w:rPr>
        <w:t>ire and Rescue Service (F</w:t>
      </w:r>
      <w:r w:rsidR="00A22E93">
        <w:rPr>
          <w:rFonts w:ascii="Verdana" w:hAnsi="Verdana" w:cs="Arial"/>
          <w:sz w:val="24"/>
          <w:szCs w:val="24"/>
        </w:rPr>
        <w:t>RS</w:t>
      </w:r>
      <w:r w:rsidR="005A6A95">
        <w:rPr>
          <w:rFonts w:ascii="Verdana" w:hAnsi="Verdana" w:cs="Arial"/>
          <w:sz w:val="24"/>
          <w:szCs w:val="24"/>
        </w:rPr>
        <w:t>)</w:t>
      </w:r>
      <w:r w:rsidR="00A22E93">
        <w:rPr>
          <w:rFonts w:ascii="Verdana" w:hAnsi="Verdana" w:cs="Arial"/>
          <w:sz w:val="24"/>
          <w:szCs w:val="24"/>
        </w:rPr>
        <w:t xml:space="preserve"> and military in the expectation of a further call for assistance during the winter period. Whilst performance levels (and therefore patient safety) have been below the required targets and ambitions, the situation could have been much worse.   </w:t>
      </w:r>
      <w:r w:rsidR="00076E9C" w:rsidRPr="00E47A8D">
        <w:rPr>
          <w:rFonts w:ascii="Verdana" w:hAnsi="Verdana" w:cs="Arial"/>
          <w:sz w:val="24"/>
          <w:szCs w:val="24"/>
        </w:rPr>
        <w:t xml:space="preserve">  </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18A08DEB" w14:textId="77777777"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2.55</w:t>
      </w:r>
      <w:r w:rsidR="00136F21">
        <w:rPr>
          <w:rFonts w:ascii="Verdana" w:hAnsi="Verdana" w:cs="Arial"/>
          <w:sz w:val="24"/>
          <w:szCs w:val="24"/>
        </w:rPr>
        <w:tab/>
      </w:r>
      <w:r w:rsidR="00D345B3">
        <w:rPr>
          <w:rFonts w:ascii="Verdana" w:hAnsi="Verdana" w:cs="Arial"/>
          <w:sz w:val="24"/>
          <w:szCs w:val="24"/>
        </w:rPr>
        <w:t>As WAST moves into 2021/22 it will retain a focus on further tactical responses to the pandemic and its after effects, for example, seasonal planning (summer), but also re-focus on addressing the fundamentals in the EMS five step ambulance care pathway, in collaboration with health boards who have a critical role to play in supporting WAST with investment, holding WAST to account on delivering its planned efficiencies and delivering reductions in handover lost hours.  For NEPTS the focus will be on a tactical response to the system “re-set” and potential pent up demand, whilst putting in programme arrangements for transformation linked to the NEPTS Demand &amp; Capacity Review.</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2CD486D6" w14:textId="2BDD4D13" w:rsidR="00076E9C" w:rsidRPr="00E47A8D" w:rsidRDefault="00641409" w:rsidP="00136F21">
      <w:pPr>
        <w:spacing w:after="0" w:line="240" w:lineRule="auto"/>
        <w:ind w:left="709" w:hanging="709"/>
        <w:jc w:val="both"/>
        <w:rPr>
          <w:rFonts w:ascii="Verdana" w:hAnsi="Verdana" w:cs="Arial"/>
          <w:sz w:val="24"/>
          <w:szCs w:val="24"/>
        </w:rPr>
      </w:pPr>
      <w:r w:rsidRPr="0086070F">
        <w:rPr>
          <w:rFonts w:ascii="Verdana" w:hAnsi="Verdana" w:cs="Arial"/>
          <w:sz w:val="24"/>
          <w:szCs w:val="24"/>
        </w:rPr>
        <w:t>2.56</w:t>
      </w:r>
      <w:r w:rsidR="00136F21" w:rsidRPr="0086070F">
        <w:rPr>
          <w:rFonts w:ascii="Verdana" w:hAnsi="Verdana" w:cs="Arial"/>
          <w:sz w:val="24"/>
          <w:szCs w:val="24"/>
        </w:rPr>
        <w:tab/>
      </w:r>
      <w:r w:rsidR="0086070F" w:rsidRPr="0086070F">
        <w:rPr>
          <w:rFonts w:ascii="Verdana" w:hAnsi="Verdana" w:cs="Arial"/>
          <w:sz w:val="24"/>
          <w:szCs w:val="24"/>
        </w:rPr>
        <w:t>An advanced draft of the WAST 2021</w:t>
      </w:r>
      <w:r w:rsidR="005A6A95">
        <w:rPr>
          <w:rFonts w:ascii="Verdana" w:hAnsi="Verdana" w:cs="Arial"/>
          <w:sz w:val="24"/>
          <w:szCs w:val="24"/>
        </w:rPr>
        <w:t>-</w:t>
      </w:r>
      <w:r w:rsidR="0086070F" w:rsidRPr="0086070F">
        <w:rPr>
          <w:rFonts w:ascii="Verdana" w:hAnsi="Verdana" w:cs="Arial"/>
          <w:sz w:val="24"/>
          <w:szCs w:val="24"/>
        </w:rPr>
        <w:t>24 IMTP will be presented to 09 Mar-21 EASC for endorsement, which will build on the tactical focus required for the pandemic, build on the EMS Demand &amp; Capacity Programme and emerging NEPTS Demand &amp; Capacity Programme; and the expanding offer of WAST to support the wider health care system through “shift left” activities and a wider service offer to the system</w:t>
      </w:r>
      <w:r w:rsidR="00D345B3" w:rsidRPr="0086070F">
        <w:rPr>
          <w:rFonts w:ascii="Verdana" w:hAnsi="Verdana" w:cs="Arial"/>
          <w:sz w:val="24"/>
          <w:szCs w:val="24"/>
        </w:rPr>
        <w:t>.</w:t>
      </w:r>
    </w:p>
    <w:p w14:paraId="7045948F" w14:textId="77777777" w:rsidR="00076E9C" w:rsidRPr="00E47A8D" w:rsidRDefault="00076E9C" w:rsidP="00E47A8D">
      <w:pPr>
        <w:pStyle w:val="ListParagraph"/>
        <w:spacing w:after="0" w:line="240" w:lineRule="auto"/>
        <w:rPr>
          <w:rFonts w:ascii="Verdana" w:hAnsi="Verdana" w:cs="Arial"/>
          <w:sz w:val="24"/>
          <w:szCs w:val="24"/>
        </w:rPr>
      </w:pPr>
    </w:p>
    <w:p w14:paraId="38612377" w14:textId="240A7802"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2.57</w:t>
      </w:r>
      <w:r w:rsidR="00136F21">
        <w:rPr>
          <w:rFonts w:ascii="Verdana" w:hAnsi="Verdana" w:cs="Arial"/>
          <w:sz w:val="24"/>
          <w:szCs w:val="24"/>
        </w:rPr>
        <w:tab/>
      </w:r>
      <w:r w:rsidR="00076E9C" w:rsidRPr="00E47A8D">
        <w:rPr>
          <w:rFonts w:ascii="Verdana" w:hAnsi="Verdana" w:cs="Arial"/>
          <w:sz w:val="24"/>
          <w:szCs w:val="24"/>
        </w:rPr>
        <w:t>Overall</w:t>
      </w:r>
      <w:r w:rsidR="00A777C9">
        <w:rPr>
          <w:rFonts w:ascii="Verdana" w:hAnsi="Verdana" w:cs="Arial"/>
          <w:sz w:val="24"/>
          <w:szCs w:val="24"/>
        </w:rPr>
        <w:t xml:space="preserve"> </w:t>
      </w:r>
      <w:r w:rsidR="00D345B3">
        <w:rPr>
          <w:rFonts w:ascii="Verdana" w:hAnsi="Verdana" w:cs="Arial"/>
          <w:sz w:val="24"/>
          <w:szCs w:val="24"/>
        </w:rPr>
        <w:t>WAST</w:t>
      </w:r>
      <w:r w:rsidR="00A777C9">
        <w:rPr>
          <w:rFonts w:ascii="Verdana" w:hAnsi="Verdana" w:cs="Arial"/>
          <w:sz w:val="24"/>
          <w:szCs w:val="24"/>
        </w:rPr>
        <w:t>:</w:t>
      </w:r>
      <w:r w:rsidR="00D345B3">
        <w:rPr>
          <w:rFonts w:ascii="Verdana" w:hAnsi="Verdana" w:cs="Arial"/>
          <w:sz w:val="24"/>
          <w:szCs w:val="24"/>
        </w:rPr>
        <w:t xml:space="preserve"> anticipates remaining in monitor mode as the s</w:t>
      </w:r>
      <w:r w:rsidR="00A777C9">
        <w:rPr>
          <w:rFonts w:ascii="Verdana" w:hAnsi="Verdana" w:cs="Arial"/>
          <w:sz w:val="24"/>
          <w:szCs w:val="24"/>
        </w:rPr>
        <w:t>ystem emerges from the pandemic;</w:t>
      </w:r>
      <w:r w:rsidR="00D345B3">
        <w:rPr>
          <w:rFonts w:ascii="Verdana" w:hAnsi="Verdana" w:cs="Arial"/>
          <w:sz w:val="24"/>
          <w:szCs w:val="24"/>
        </w:rPr>
        <w:t xml:space="preserve"> will maintain a strong tactical focus and respond early to any predicted changes to demand or loss of capacity</w:t>
      </w:r>
      <w:r w:rsidR="00A777C9">
        <w:rPr>
          <w:rFonts w:ascii="Verdana" w:hAnsi="Verdana" w:cs="Arial"/>
          <w:sz w:val="24"/>
          <w:szCs w:val="24"/>
        </w:rPr>
        <w:t xml:space="preserve"> linked to CoVID-19</w:t>
      </w:r>
      <w:r w:rsidR="00D345B3">
        <w:rPr>
          <w:rFonts w:ascii="Verdana" w:hAnsi="Verdana" w:cs="Arial"/>
          <w:sz w:val="24"/>
          <w:szCs w:val="24"/>
        </w:rPr>
        <w:t>; whilst</w:t>
      </w:r>
      <w:r w:rsidR="00A777C9">
        <w:rPr>
          <w:rFonts w:ascii="Verdana" w:hAnsi="Verdana" w:cs="Arial"/>
          <w:sz w:val="24"/>
          <w:szCs w:val="24"/>
        </w:rPr>
        <w:t xml:space="preserve"> pushing ahead with its 2021/22 </w:t>
      </w:r>
      <w:r w:rsidR="0086070F">
        <w:rPr>
          <w:rFonts w:ascii="Verdana" w:hAnsi="Verdana" w:cs="Arial"/>
          <w:sz w:val="24"/>
          <w:szCs w:val="24"/>
        </w:rPr>
        <w:t xml:space="preserve">IMTP </w:t>
      </w:r>
      <w:r w:rsidR="00A777C9">
        <w:rPr>
          <w:rFonts w:ascii="Verdana" w:hAnsi="Verdana" w:cs="Arial"/>
          <w:sz w:val="24"/>
          <w:szCs w:val="24"/>
        </w:rPr>
        <w:t>deliverables.</w:t>
      </w:r>
    </w:p>
    <w:p w14:paraId="019A6D44" w14:textId="77777777" w:rsidR="007B2CAA" w:rsidRDefault="007B2CAA" w:rsidP="003771BE">
      <w:pPr>
        <w:spacing w:after="0" w:line="240" w:lineRule="auto"/>
        <w:jc w:val="both"/>
        <w:rPr>
          <w:rFonts w:ascii="Verdana" w:hAnsi="Verdana" w:cs="Arial"/>
          <w:b/>
          <w:sz w:val="24"/>
          <w:szCs w:val="24"/>
          <w:u w:val="single"/>
        </w:rPr>
      </w:pPr>
    </w:p>
    <w:p w14:paraId="1C5E85CC" w14:textId="77777777"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13FB082" w14:textId="77777777" w:rsidR="001D5C83" w:rsidRDefault="001D5C83" w:rsidP="00E110D4">
      <w:pPr>
        <w:spacing w:after="0" w:line="240" w:lineRule="auto"/>
        <w:rPr>
          <w:rFonts w:ascii="Verdana" w:hAnsi="Verdana" w:cs="Arial"/>
          <w:b/>
          <w:sz w:val="24"/>
          <w:szCs w:val="24"/>
        </w:rPr>
      </w:pPr>
    </w:p>
    <w:p w14:paraId="336368EB" w14:textId="77777777"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14:paraId="07BCE102" w14:textId="77777777" w:rsidR="000967B5" w:rsidRPr="000967B5" w:rsidRDefault="000967B5" w:rsidP="005D06F5">
      <w:pPr>
        <w:pStyle w:val="ListParagraph"/>
        <w:spacing w:after="0" w:line="240" w:lineRule="auto"/>
        <w:jc w:val="both"/>
        <w:rPr>
          <w:rFonts w:ascii="Verdana" w:hAnsi="Verdana" w:cs="Arial"/>
          <w:sz w:val="24"/>
          <w:szCs w:val="24"/>
          <w:highlight w:val="magenta"/>
        </w:rPr>
      </w:pPr>
    </w:p>
    <w:p w14:paraId="7410B0D6" w14:textId="63E28DEB" w:rsidR="00C1389D" w:rsidRPr="005A6A95"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WAST’s P</w:t>
      </w:r>
      <w:r w:rsidRPr="009D77A2">
        <w:rPr>
          <w:rFonts w:ascii="Verdana" w:hAnsi="Verdana" w:cs="Arial"/>
          <w:sz w:val="24"/>
          <w:szCs w:val="24"/>
        </w:rPr>
        <w:t>andemic Influenza Plan</w:t>
      </w:r>
      <w:r w:rsidR="005A6A95">
        <w:rPr>
          <w:rFonts w:ascii="Verdana" w:hAnsi="Verdana" w:cs="Arial"/>
          <w:sz w:val="24"/>
          <w:szCs w:val="24"/>
        </w:rPr>
        <w:t xml:space="preserve"> </w:t>
      </w:r>
      <w:r w:rsidRPr="009D77A2">
        <w:rPr>
          <w:rFonts w:ascii="Verdana" w:hAnsi="Verdana" w:cs="Arial"/>
          <w:sz w:val="24"/>
          <w:szCs w:val="24"/>
        </w:rPr>
        <w:t>/</w:t>
      </w:r>
      <w:r w:rsidRPr="009D77A2">
        <w:rPr>
          <w:rFonts w:ascii="Verdana" w:hAnsi="Verdana"/>
          <w:sz w:val="24"/>
          <w:szCs w:val="24"/>
        </w:rPr>
        <w:t xml:space="preserve"> business continuity arrangements have been effective, that WAST continues to work within the framework of these plans/arrangements</w:t>
      </w:r>
      <w:r w:rsidR="00D46FF9" w:rsidRPr="009D77A2">
        <w:rPr>
          <w:rFonts w:ascii="Verdana" w:hAnsi="Verdana"/>
          <w:sz w:val="24"/>
          <w:szCs w:val="24"/>
        </w:rPr>
        <w:t xml:space="preserve"> and </w:t>
      </w:r>
      <w:r w:rsidRPr="009D77A2">
        <w:rPr>
          <w:rFonts w:ascii="Verdana" w:hAnsi="Verdana"/>
          <w:sz w:val="24"/>
          <w:szCs w:val="24"/>
        </w:rPr>
        <w:t xml:space="preserve">WAST </w:t>
      </w:r>
      <w:r w:rsidR="00D46FF9" w:rsidRPr="009D77A2">
        <w:rPr>
          <w:rFonts w:ascii="Verdana" w:hAnsi="Verdana"/>
          <w:sz w:val="24"/>
          <w:szCs w:val="24"/>
        </w:rPr>
        <w:t>is now</w:t>
      </w:r>
      <w:r w:rsidR="0012771F">
        <w:rPr>
          <w:rFonts w:ascii="Verdana" w:hAnsi="Verdana"/>
          <w:sz w:val="24"/>
          <w:szCs w:val="24"/>
        </w:rPr>
        <w:t xml:space="preserve"> back</w:t>
      </w:r>
      <w:r w:rsidR="00D46FF9" w:rsidRPr="009D77A2">
        <w:rPr>
          <w:rFonts w:ascii="Verdana" w:hAnsi="Verdana"/>
          <w:sz w:val="24"/>
          <w:szCs w:val="24"/>
        </w:rPr>
        <w:t xml:space="preserve"> in a </w:t>
      </w:r>
      <w:r w:rsidR="00C31EB3">
        <w:rPr>
          <w:rFonts w:ascii="Verdana" w:hAnsi="Verdana"/>
          <w:sz w:val="24"/>
          <w:szCs w:val="24"/>
        </w:rPr>
        <w:t>period of monitor</w:t>
      </w:r>
      <w:r w:rsidRPr="009D77A2">
        <w:rPr>
          <w:rFonts w:ascii="Verdana" w:hAnsi="Verdana"/>
          <w:sz w:val="24"/>
          <w:szCs w:val="24"/>
        </w:rPr>
        <w:t xml:space="preserve"> as</w:t>
      </w:r>
      <w:r w:rsidR="0012771F">
        <w:rPr>
          <w:rFonts w:ascii="Verdana" w:hAnsi="Verdana"/>
          <w:sz w:val="24"/>
          <w:szCs w:val="24"/>
        </w:rPr>
        <w:t xml:space="preserve"> the health care system</w:t>
      </w:r>
      <w:r w:rsidR="00C31EB3">
        <w:rPr>
          <w:rFonts w:ascii="Verdana" w:hAnsi="Verdana"/>
          <w:sz w:val="24"/>
          <w:szCs w:val="24"/>
        </w:rPr>
        <w:t xml:space="preserve"> emerges from the second wave</w:t>
      </w:r>
      <w:r w:rsidR="00025C12">
        <w:rPr>
          <w:rFonts w:ascii="Verdana" w:hAnsi="Verdana"/>
          <w:sz w:val="24"/>
          <w:szCs w:val="24"/>
        </w:rPr>
        <w:t>;</w:t>
      </w:r>
    </w:p>
    <w:p w14:paraId="056B5D2C" w14:textId="77777777" w:rsidR="005A6A95" w:rsidRPr="009D77A2" w:rsidRDefault="005A6A95" w:rsidP="005A6A95">
      <w:pPr>
        <w:pStyle w:val="ListParagraph"/>
        <w:spacing w:after="0" w:line="240" w:lineRule="auto"/>
        <w:jc w:val="both"/>
        <w:rPr>
          <w:rFonts w:ascii="Verdana" w:hAnsi="Verdana" w:cs="Arial"/>
          <w:sz w:val="24"/>
          <w:szCs w:val="24"/>
        </w:rPr>
      </w:pPr>
    </w:p>
    <w:p w14:paraId="3F5CFAE7" w14:textId="77777777" w:rsidR="005D06F5"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lastRenderedPageBreak/>
        <w:t>Quality, safety and patient experience monitoring arra</w:t>
      </w:r>
      <w:r w:rsidR="00025C12">
        <w:rPr>
          <w:rFonts w:ascii="Verdana" w:hAnsi="Verdana" w:cs="Arial"/>
          <w:sz w:val="24"/>
          <w:szCs w:val="24"/>
        </w:rPr>
        <w:t>ngements have remained in place</w:t>
      </w:r>
      <w:r w:rsidR="003D7FDB">
        <w:rPr>
          <w:rFonts w:ascii="Verdana" w:hAnsi="Verdana" w:cs="Arial"/>
          <w:sz w:val="24"/>
          <w:szCs w:val="24"/>
        </w:rPr>
        <w:t xml:space="preserve"> through the CoVID-19 response</w:t>
      </w:r>
      <w:r w:rsidR="0012771F">
        <w:rPr>
          <w:rFonts w:ascii="Verdana" w:hAnsi="Verdana" w:cs="Arial"/>
          <w:sz w:val="24"/>
          <w:szCs w:val="24"/>
        </w:rPr>
        <w:t xml:space="preserve"> and </w:t>
      </w:r>
      <w:r w:rsidR="00C31EB3">
        <w:rPr>
          <w:rFonts w:ascii="Verdana" w:hAnsi="Verdana" w:cs="Arial"/>
          <w:sz w:val="24"/>
          <w:szCs w:val="24"/>
        </w:rPr>
        <w:t xml:space="preserve">have been </w:t>
      </w:r>
      <w:r w:rsidR="0012771F">
        <w:rPr>
          <w:rFonts w:ascii="Verdana" w:hAnsi="Verdana" w:cs="Arial"/>
          <w:sz w:val="24"/>
          <w:szCs w:val="24"/>
        </w:rPr>
        <w:t>enhanced, in particular, monthly reporting to health boards</w:t>
      </w:r>
      <w:r w:rsidR="00641409">
        <w:rPr>
          <w:rFonts w:ascii="Verdana" w:hAnsi="Verdana" w:cs="Arial"/>
          <w:sz w:val="24"/>
          <w:szCs w:val="24"/>
        </w:rPr>
        <w:t xml:space="preserve">. </w:t>
      </w:r>
      <w:r w:rsidR="00C31EB3">
        <w:rPr>
          <w:rFonts w:ascii="Verdana" w:hAnsi="Verdana" w:cs="Arial"/>
          <w:sz w:val="24"/>
          <w:szCs w:val="24"/>
        </w:rPr>
        <w:t>WAST</w:t>
      </w:r>
      <w:r w:rsidR="00641409">
        <w:rPr>
          <w:rFonts w:ascii="Verdana" w:hAnsi="Verdana" w:cs="Arial"/>
          <w:sz w:val="24"/>
          <w:szCs w:val="24"/>
        </w:rPr>
        <w:t xml:space="preserve"> remains very concerned at the patient safety risks associated with response times that are too long</w:t>
      </w:r>
      <w:r w:rsidR="003D7FDB">
        <w:rPr>
          <w:rFonts w:ascii="Verdana" w:hAnsi="Verdana" w:cs="Arial"/>
          <w:sz w:val="24"/>
          <w:szCs w:val="24"/>
        </w:rPr>
        <w:t xml:space="preserve">;  </w:t>
      </w:r>
    </w:p>
    <w:p w14:paraId="6D123ED1" w14:textId="77777777" w:rsidR="003D7FDB" w:rsidRDefault="0012771F"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were </w:t>
      </w:r>
      <w:r w:rsidR="00C31EB3">
        <w:rPr>
          <w:rFonts w:ascii="Verdana" w:hAnsi="Verdana" w:cs="Arial"/>
          <w:sz w:val="24"/>
          <w:szCs w:val="24"/>
        </w:rPr>
        <w:t>42</w:t>
      </w:r>
      <w:r w:rsidR="003D7FDB">
        <w:rPr>
          <w:rFonts w:ascii="Verdana" w:hAnsi="Verdana" w:cs="Arial"/>
          <w:sz w:val="24"/>
          <w:szCs w:val="24"/>
        </w:rPr>
        <w:t xml:space="preserve"> SCIF cases pas</w:t>
      </w:r>
      <w:r w:rsidR="005026C5">
        <w:rPr>
          <w:rFonts w:ascii="Verdana" w:hAnsi="Verdana" w:cs="Arial"/>
          <w:sz w:val="24"/>
          <w:szCs w:val="24"/>
        </w:rPr>
        <w:t>sed</w:t>
      </w:r>
      <w:r w:rsidR="00C31EB3">
        <w:rPr>
          <w:rFonts w:ascii="Verdana" w:hAnsi="Verdana" w:cs="Arial"/>
          <w:sz w:val="24"/>
          <w:szCs w:val="24"/>
        </w:rPr>
        <w:t xml:space="preserve"> to h</w:t>
      </w:r>
      <w:r w:rsidR="003D7FDB">
        <w:rPr>
          <w:rFonts w:ascii="Verdana" w:hAnsi="Verdana" w:cs="Arial"/>
          <w:sz w:val="24"/>
          <w:szCs w:val="24"/>
        </w:rPr>
        <w:t xml:space="preserve">ealth </w:t>
      </w:r>
      <w:r w:rsidR="00C31EB3">
        <w:rPr>
          <w:rFonts w:ascii="Verdana" w:hAnsi="Verdana" w:cs="Arial"/>
          <w:sz w:val="24"/>
          <w:szCs w:val="24"/>
        </w:rPr>
        <w:t>b</w:t>
      </w:r>
      <w:r w:rsidR="003D7FDB">
        <w:rPr>
          <w:rFonts w:ascii="Verdana" w:hAnsi="Verdana" w:cs="Arial"/>
          <w:sz w:val="24"/>
          <w:szCs w:val="24"/>
        </w:rPr>
        <w:t>oards</w:t>
      </w:r>
      <w:r w:rsidR="00641409">
        <w:rPr>
          <w:rFonts w:ascii="Verdana" w:hAnsi="Verdana" w:cs="Arial"/>
          <w:sz w:val="24"/>
          <w:szCs w:val="24"/>
        </w:rPr>
        <w:t xml:space="preserve"> in the last</w:t>
      </w:r>
      <w:r w:rsidR="00C31EB3">
        <w:rPr>
          <w:rFonts w:ascii="Verdana" w:hAnsi="Verdana" w:cs="Arial"/>
          <w:sz w:val="24"/>
          <w:szCs w:val="24"/>
        </w:rPr>
        <w:t xml:space="preserve"> three</w:t>
      </w:r>
      <w:r w:rsidR="00641409">
        <w:rPr>
          <w:rFonts w:ascii="Verdana" w:hAnsi="Verdana" w:cs="Arial"/>
          <w:sz w:val="24"/>
          <w:szCs w:val="24"/>
        </w:rPr>
        <w:t xml:space="preserve"> month</w:t>
      </w:r>
      <w:r w:rsidR="00C31EB3">
        <w:rPr>
          <w:rFonts w:ascii="Verdana" w:hAnsi="Verdana" w:cs="Arial"/>
          <w:sz w:val="24"/>
          <w:szCs w:val="24"/>
        </w:rPr>
        <w:t>s</w:t>
      </w:r>
      <w:r w:rsidR="003D7FDB">
        <w:rPr>
          <w:rFonts w:ascii="Verdana" w:hAnsi="Verdana" w:cs="Arial"/>
          <w:sz w:val="24"/>
          <w:szCs w:val="24"/>
        </w:rPr>
        <w:t>;</w:t>
      </w:r>
    </w:p>
    <w:p w14:paraId="7000BC07" w14:textId="77777777" w:rsidR="00282EEA" w:rsidRPr="009D77A2" w:rsidRDefault="000F0382"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r w:rsidR="00282EEA" w:rsidRPr="009D77A2">
        <w:rPr>
          <w:rFonts w:ascii="Verdana" w:hAnsi="Verdana"/>
          <w:sz w:val="24"/>
          <w:szCs w:val="24"/>
        </w:rPr>
        <w:t>Red 8 minute 65% target has been</w:t>
      </w:r>
      <w:r>
        <w:rPr>
          <w:rFonts w:ascii="Verdana" w:hAnsi="Verdana"/>
          <w:sz w:val="24"/>
          <w:szCs w:val="24"/>
        </w:rPr>
        <w:t xml:space="preserve"> missed for the last </w:t>
      </w:r>
      <w:r w:rsidR="00C31EB3">
        <w:rPr>
          <w:rFonts w:ascii="Verdana" w:hAnsi="Verdana"/>
          <w:sz w:val="24"/>
          <w:szCs w:val="24"/>
        </w:rPr>
        <w:t>six</w:t>
      </w:r>
      <w:r>
        <w:rPr>
          <w:rFonts w:ascii="Verdana" w:hAnsi="Verdana"/>
          <w:sz w:val="24"/>
          <w:szCs w:val="24"/>
        </w:rPr>
        <w:t xml:space="preserve"> months, with significant health board variation</w:t>
      </w:r>
      <w:r w:rsidR="00D46FF9" w:rsidRPr="009D77A2">
        <w:rPr>
          <w:rFonts w:ascii="Verdana" w:hAnsi="Verdana"/>
          <w:sz w:val="24"/>
          <w:szCs w:val="24"/>
        </w:rPr>
        <w:t>;</w:t>
      </w:r>
      <w:r w:rsidR="00DD557D" w:rsidRPr="009D77A2">
        <w:rPr>
          <w:rFonts w:ascii="Verdana" w:hAnsi="Verdana"/>
          <w:sz w:val="24"/>
          <w:szCs w:val="24"/>
        </w:rPr>
        <w:t xml:space="preserve">  </w:t>
      </w:r>
      <w:r w:rsidR="00282EEA" w:rsidRPr="009D77A2">
        <w:t xml:space="preserve"> </w:t>
      </w:r>
    </w:p>
    <w:p w14:paraId="673A4C28" w14:textId="77777777" w:rsidR="00282EEA" w:rsidRPr="000D74A1"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Amber tail (an area of focus e.g. the Amber Review) increase</w:t>
      </w:r>
      <w:r w:rsidR="00C31EB3">
        <w:rPr>
          <w:rFonts w:ascii="Verdana" w:hAnsi="Verdana"/>
          <w:sz w:val="24"/>
          <w:szCs w:val="24"/>
        </w:rPr>
        <w:t>d in quarter three</w:t>
      </w:r>
      <w:r w:rsidR="000F0382">
        <w:rPr>
          <w:rFonts w:ascii="Verdana" w:hAnsi="Verdana"/>
          <w:sz w:val="24"/>
          <w:szCs w:val="24"/>
        </w:rPr>
        <w:t xml:space="preserve"> as handover lost hours increased</w:t>
      </w:r>
      <w:r>
        <w:rPr>
          <w:rFonts w:ascii="Verdana" w:hAnsi="Verdana"/>
          <w:sz w:val="24"/>
          <w:szCs w:val="24"/>
        </w:rPr>
        <w:t>;</w:t>
      </w:r>
    </w:p>
    <w:p w14:paraId="42887EDC" w14:textId="10D5F6D7" w:rsidR="000D74A1" w:rsidRPr="003D7FDB" w:rsidRDefault="000D74A1"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is concerned at the rising number of hours lost outside E</w:t>
      </w:r>
      <w:r w:rsidR="008E2CEA">
        <w:rPr>
          <w:rFonts w:ascii="Verdana" w:hAnsi="Verdana"/>
          <w:sz w:val="24"/>
          <w:szCs w:val="24"/>
        </w:rPr>
        <w:t>D</w:t>
      </w:r>
      <w:r>
        <w:rPr>
          <w:rFonts w:ascii="Verdana" w:hAnsi="Verdana"/>
          <w:sz w:val="24"/>
          <w:szCs w:val="24"/>
        </w:rPr>
        <w:t>s</w:t>
      </w:r>
      <w:r w:rsidR="008E2CEA">
        <w:rPr>
          <w:rFonts w:ascii="Verdana" w:hAnsi="Verdana"/>
          <w:sz w:val="24"/>
          <w:szCs w:val="24"/>
        </w:rPr>
        <w:t xml:space="preserve"> in Q3</w:t>
      </w:r>
      <w:r>
        <w:rPr>
          <w:rFonts w:ascii="Verdana" w:hAnsi="Verdana"/>
          <w:sz w:val="24"/>
          <w:szCs w:val="24"/>
        </w:rPr>
        <w:t>, particularly at certain hospitals, with risks emerging again around patient safety and response times</w:t>
      </w:r>
      <w:r w:rsidR="008E2CEA">
        <w:rPr>
          <w:rFonts w:ascii="Verdana" w:hAnsi="Verdana"/>
          <w:sz w:val="24"/>
          <w:szCs w:val="24"/>
        </w:rPr>
        <w:t>, although pleased to note improvements so far in Q4</w:t>
      </w:r>
      <w:r>
        <w:rPr>
          <w:rFonts w:ascii="Verdana" w:hAnsi="Verdana"/>
          <w:sz w:val="24"/>
          <w:szCs w:val="24"/>
        </w:rPr>
        <w:t>;</w:t>
      </w:r>
    </w:p>
    <w:p w14:paraId="0977A015" w14:textId="77777777" w:rsidR="003D7FDB" w:rsidRPr="009D77A2" w:rsidRDefault="00C31EB3"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Through the commissioning intention process there is a clear collaborative commitment to increasing capacity in the five step ambulance care pathway through a combination of investment and efficiencies (WAST and health board)</w:t>
      </w:r>
      <w:r w:rsidR="003D7FDB">
        <w:rPr>
          <w:rFonts w:ascii="Verdana" w:hAnsi="Verdana"/>
          <w:sz w:val="24"/>
          <w:szCs w:val="24"/>
        </w:rPr>
        <w:t>;</w:t>
      </w:r>
    </w:p>
    <w:p w14:paraId="4D44F728" w14:textId="7D029846" w:rsidR="00282EEA" w:rsidRPr="003D7FDB"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EMS Demand &amp; Capacity Programme</w:t>
      </w:r>
      <w:r w:rsidR="00B25749">
        <w:rPr>
          <w:rFonts w:ascii="Verdana" w:hAnsi="Verdana"/>
          <w:sz w:val="24"/>
          <w:szCs w:val="24"/>
        </w:rPr>
        <w:t xml:space="preserve"> is making good progress, but estate is a potential strategic risk to the programme</w:t>
      </w:r>
      <w:r w:rsidR="00C31EB3">
        <w:rPr>
          <w:rFonts w:ascii="Verdana" w:hAnsi="Verdana"/>
          <w:sz w:val="24"/>
          <w:szCs w:val="24"/>
        </w:rPr>
        <w:t xml:space="preserve"> with a draft contingency plan in place</w:t>
      </w:r>
      <w:r w:rsidR="00025C12">
        <w:rPr>
          <w:rFonts w:ascii="Verdana" w:hAnsi="Verdana"/>
          <w:sz w:val="24"/>
          <w:szCs w:val="24"/>
        </w:rPr>
        <w:t>;</w:t>
      </w:r>
      <w:r w:rsidR="00282EEA" w:rsidRPr="009D77A2">
        <w:t xml:space="preserve"> </w:t>
      </w:r>
    </w:p>
    <w:p w14:paraId="69CA95D7" w14:textId="320D3B29" w:rsidR="00E75325" w:rsidRPr="000873E6" w:rsidRDefault="00E23974" w:rsidP="00E110D4">
      <w:pPr>
        <w:pStyle w:val="ListParagraph"/>
        <w:numPr>
          <w:ilvl w:val="1"/>
          <w:numId w:val="1"/>
        </w:numPr>
        <w:spacing w:after="0" w:line="240" w:lineRule="auto"/>
        <w:jc w:val="both"/>
        <w:rPr>
          <w:rFonts w:ascii="Verdana" w:hAnsi="Verdana" w:cs="Arial"/>
          <w:sz w:val="24"/>
          <w:szCs w:val="24"/>
        </w:rPr>
      </w:pPr>
      <w:r w:rsidRPr="000873E6">
        <w:rPr>
          <w:rFonts w:ascii="Verdana" w:eastAsia="Calibri" w:hAnsi="Verdana" w:cs="Arial"/>
          <w:sz w:val="24"/>
          <w:szCs w:val="24"/>
        </w:rPr>
        <w:t>The Grange University Hospital inter-site transf</w:t>
      </w:r>
      <w:r>
        <w:rPr>
          <w:rFonts w:ascii="Verdana" w:eastAsia="Calibri" w:hAnsi="Verdana" w:cs="Arial"/>
          <w:sz w:val="24"/>
          <w:szCs w:val="24"/>
        </w:rPr>
        <w:t>er service went live in Nov-</w:t>
      </w:r>
      <w:r w:rsidRPr="000873E6">
        <w:rPr>
          <w:rFonts w:ascii="Verdana" w:eastAsia="Calibri" w:hAnsi="Verdana" w:cs="Arial"/>
          <w:sz w:val="24"/>
          <w:szCs w:val="24"/>
        </w:rPr>
        <w:t>20</w:t>
      </w:r>
      <w:r>
        <w:rPr>
          <w:rFonts w:ascii="Verdana" w:eastAsia="Calibri" w:hAnsi="Verdana" w:cs="Arial"/>
          <w:sz w:val="24"/>
          <w:szCs w:val="24"/>
        </w:rPr>
        <w:t xml:space="preserve"> and offers some insights for the development of a national discharge and transfer service</w:t>
      </w:r>
      <w:r w:rsidR="00E75325" w:rsidRPr="000873E6">
        <w:rPr>
          <w:rFonts w:ascii="Verdana" w:hAnsi="Verdana" w:cs="Arial"/>
          <w:sz w:val="24"/>
          <w:szCs w:val="24"/>
        </w:rPr>
        <w:t>;</w:t>
      </w:r>
    </w:p>
    <w:p w14:paraId="1BE350EB" w14:textId="0828A85C" w:rsidR="000967B5" w:rsidRPr="000873E6" w:rsidRDefault="00E75325" w:rsidP="00E110D4">
      <w:pPr>
        <w:pStyle w:val="ListParagraph"/>
        <w:numPr>
          <w:ilvl w:val="1"/>
          <w:numId w:val="1"/>
        </w:numPr>
        <w:spacing w:after="0" w:line="240" w:lineRule="auto"/>
        <w:jc w:val="both"/>
        <w:rPr>
          <w:rFonts w:ascii="Verdana" w:hAnsi="Verdana" w:cs="Arial"/>
          <w:sz w:val="24"/>
          <w:szCs w:val="24"/>
        </w:rPr>
      </w:pPr>
      <w:r w:rsidRPr="000873E6">
        <w:rPr>
          <w:rFonts w:ascii="Verdana" w:hAnsi="Verdana"/>
          <w:sz w:val="24"/>
          <w:szCs w:val="24"/>
        </w:rPr>
        <w:t xml:space="preserve">WAST continues to </w:t>
      </w:r>
      <w:r w:rsidR="000967B5" w:rsidRPr="000873E6">
        <w:rPr>
          <w:rFonts w:ascii="Verdana" w:hAnsi="Verdana"/>
          <w:sz w:val="24"/>
          <w:szCs w:val="24"/>
        </w:rPr>
        <w:t>monitor</w:t>
      </w:r>
      <w:r w:rsidRPr="000873E6">
        <w:rPr>
          <w:rFonts w:ascii="Verdana" w:hAnsi="Verdana"/>
          <w:sz w:val="24"/>
          <w:szCs w:val="24"/>
        </w:rPr>
        <w:t xml:space="preserve"> </w:t>
      </w:r>
      <w:r w:rsidR="00E23974">
        <w:rPr>
          <w:rFonts w:ascii="Verdana" w:hAnsi="Verdana"/>
          <w:sz w:val="24"/>
          <w:szCs w:val="24"/>
        </w:rPr>
        <w:t>and respond to h</w:t>
      </w:r>
      <w:r w:rsidR="000967B5" w:rsidRPr="000873E6">
        <w:rPr>
          <w:rFonts w:ascii="Verdana" w:hAnsi="Verdana"/>
          <w:sz w:val="24"/>
          <w:szCs w:val="24"/>
        </w:rPr>
        <w:t xml:space="preserve">ealth </w:t>
      </w:r>
      <w:r w:rsidR="00E23974">
        <w:rPr>
          <w:rFonts w:ascii="Verdana" w:hAnsi="Verdana"/>
          <w:sz w:val="24"/>
          <w:szCs w:val="24"/>
        </w:rPr>
        <w:t>b</w:t>
      </w:r>
      <w:r w:rsidR="000967B5" w:rsidRPr="000873E6">
        <w:rPr>
          <w:rFonts w:ascii="Verdana" w:hAnsi="Verdana"/>
          <w:sz w:val="24"/>
          <w:szCs w:val="24"/>
        </w:rPr>
        <w:t xml:space="preserve">oard requirements for additional ambulance transport required to service revised clinical models/hospital footprints in </w:t>
      </w:r>
      <w:r w:rsidRPr="000873E6">
        <w:rPr>
          <w:rFonts w:ascii="Verdana" w:hAnsi="Verdana"/>
          <w:sz w:val="24"/>
          <w:szCs w:val="24"/>
        </w:rPr>
        <w:t>each Health Board</w:t>
      </w:r>
    </w:p>
    <w:p w14:paraId="7AA40BDA" w14:textId="60A95F6B" w:rsidR="000967B5" w:rsidRPr="00B25749"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NEPTS</w:t>
      </w:r>
      <w:r w:rsidR="005D06F5" w:rsidRPr="009D77A2">
        <w:rPr>
          <w:rFonts w:ascii="Verdana" w:hAnsi="Verdana"/>
          <w:sz w:val="24"/>
          <w:szCs w:val="24"/>
        </w:rPr>
        <w:t xml:space="preserve"> has continued to provide patient critical journeys as determ</w:t>
      </w:r>
      <w:r w:rsidR="00A1247D">
        <w:rPr>
          <w:rFonts w:ascii="Verdana" w:hAnsi="Verdana"/>
          <w:sz w:val="24"/>
          <w:szCs w:val="24"/>
        </w:rPr>
        <w:t>ined by h</w:t>
      </w:r>
      <w:r w:rsidR="009D77A2">
        <w:rPr>
          <w:rFonts w:ascii="Verdana" w:hAnsi="Verdana"/>
          <w:sz w:val="24"/>
          <w:szCs w:val="24"/>
        </w:rPr>
        <w:t xml:space="preserve">ealth </w:t>
      </w:r>
      <w:r w:rsidR="00A1247D">
        <w:rPr>
          <w:rFonts w:ascii="Verdana" w:hAnsi="Verdana"/>
          <w:sz w:val="24"/>
          <w:szCs w:val="24"/>
        </w:rPr>
        <w:t>b</w:t>
      </w:r>
      <w:r w:rsidR="009D77A2">
        <w:rPr>
          <w:rFonts w:ascii="Verdana" w:hAnsi="Verdana"/>
          <w:sz w:val="24"/>
          <w:szCs w:val="24"/>
        </w:rPr>
        <w:t>oard clinicians, but social distancing has significantly reduced NEPTS capaci</w:t>
      </w:r>
      <w:r w:rsidR="00B25749">
        <w:rPr>
          <w:rFonts w:ascii="Verdana" w:hAnsi="Verdana"/>
          <w:sz w:val="24"/>
          <w:szCs w:val="24"/>
        </w:rPr>
        <w:t>ty and is a risk to the system</w:t>
      </w:r>
      <w:r w:rsidR="009D77A2">
        <w:rPr>
          <w:rFonts w:ascii="Verdana" w:hAnsi="Verdana"/>
          <w:sz w:val="24"/>
          <w:szCs w:val="24"/>
        </w:rPr>
        <w:t>;</w:t>
      </w:r>
    </w:p>
    <w:p w14:paraId="0267AB27" w14:textId="77777777" w:rsidR="00B25749" w:rsidRPr="009D77A2" w:rsidRDefault="00B25749"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Early engagement by health boards with WAST on transport needs</w:t>
      </w:r>
      <w:r w:rsidR="00C31EB3">
        <w:rPr>
          <w:rFonts w:ascii="Verdana" w:hAnsi="Verdana"/>
          <w:sz w:val="24"/>
          <w:szCs w:val="24"/>
        </w:rPr>
        <w:t xml:space="preserve"> as the system “re-sets” is critical</w:t>
      </w:r>
      <w:r>
        <w:rPr>
          <w:rFonts w:ascii="Verdana" w:hAnsi="Verdana"/>
          <w:sz w:val="24"/>
          <w:szCs w:val="24"/>
        </w:rPr>
        <w:t>;</w:t>
      </w:r>
    </w:p>
    <w:p w14:paraId="5E1D9B82" w14:textId="7D9E49C9" w:rsidR="009D77A2" w:rsidRDefault="00E23974" w:rsidP="009D77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All response actions in </w:t>
      </w:r>
      <w:r w:rsidR="00B25749" w:rsidRPr="000873E6">
        <w:rPr>
          <w:rFonts w:ascii="Verdana" w:hAnsi="Verdana" w:cs="Arial"/>
          <w:sz w:val="24"/>
          <w:szCs w:val="24"/>
        </w:rPr>
        <w:t>WAST</w:t>
      </w:r>
      <w:r>
        <w:rPr>
          <w:rFonts w:ascii="Verdana" w:hAnsi="Verdana" w:cs="Arial"/>
          <w:sz w:val="24"/>
          <w:szCs w:val="24"/>
        </w:rPr>
        <w:t>’s</w:t>
      </w:r>
      <w:r w:rsidR="00B25749" w:rsidRPr="000873E6">
        <w:rPr>
          <w:rFonts w:ascii="Verdana" w:hAnsi="Verdana" w:cs="Arial"/>
          <w:sz w:val="24"/>
          <w:szCs w:val="24"/>
        </w:rPr>
        <w:t xml:space="preserve"> Q3/4</w:t>
      </w:r>
      <w:r w:rsidR="009D77A2" w:rsidRPr="000873E6">
        <w:rPr>
          <w:rFonts w:ascii="Verdana" w:hAnsi="Verdana" w:cs="Arial"/>
          <w:sz w:val="24"/>
          <w:szCs w:val="24"/>
        </w:rPr>
        <w:t xml:space="preserve"> Operating Framework</w:t>
      </w:r>
      <w:r>
        <w:rPr>
          <w:rFonts w:ascii="Verdana" w:hAnsi="Verdana" w:cs="Arial"/>
          <w:sz w:val="24"/>
          <w:szCs w:val="24"/>
        </w:rPr>
        <w:t xml:space="preserve"> were delivered</w:t>
      </w:r>
      <w:r w:rsidR="009D77A2" w:rsidRPr="000873E6">
        <w:rPr>
          <w:rFonts w:ascii="Verdana" w:hAnsi="Verdana" w:cs="Arial"/>
          <w:sz w:val="24"/>
          <w:szCs w:val="24"/>
        </w:rPr>
        <w:t>;</w:t>
      </w:r>
    </w:p>
    <w:p w14:paraId="3C81984F" w14:textId="00FB75C2" w:rsidR="00E23974" w:rsidRPr="000873E6" w:rsidRDefault="00E23974" w:rsidP="009D77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An advanced draft of WAST’s 2021-24 IMTP will be presented to 09 Mar-21 EASC for endorsement; and</w:t>
      </w:r>
    </w:p>
    <w:p w14:paraId="30E3A7BE" w14:textId="77777777" w:rsidR="00B25749" w:rsidRPr="000873E6" w:rsidRDefault="00E75325" w:rsidP="00B25749">
      <w:pPr>
        <w:pStyle w:val="ListParagraph"/>
        <w:numPr>
          <w:ilvl w:val="1"/>
          <w:numId w:val="1"/>
        </w:numPr>
        <w:spacing w:after="0" w:line="240" w:lineRule="auto"/>
        <w:jc w:val="both"/>
        <w:rPr>
          <w:rFonts w:ascii="Verdana" w:hAnsi="Verdana" w:cs="Arial"/>
          <w:sz w:val="24"/>
          <w:szCs w:val="24"/>
        </w:rPr>
      </w:pPr>
      <w:r w:rsidRPr="000873E6">
        <w:rPr>
          <w:rFonts w:ascii="Verdana" w:hAnsi="Verdana" w:cs="Arial"/>
          <w:sz w:val="24"/>
          <w:szCs w:val="24"/>
        </w:rPr>
        <w:t>WAST</w:t>
      </w:r>
      <w:r w:rsidR="00B25749" w:rsidRPr="000873E6">
        <w:rPr>
          <w:rFonts w:ascii="Verdana" w:hAnsi="Verdana" w:cs="Arial"/>
          <w:sz w:val="24"/>
          <w:szCs w:val="24"/>
        </w:rPr>
        <w:t xml:space="preserve"> continues to provide system leadership on a range of projects: 111 Phone First, MTUs, ODU etc.</w:t>
      </w: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CA33CF"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77777777"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14:paraId="65E2073E" w14:textId="77777777" w:rsidR="005802A6" w:rsidRPr="001D5C83" w:rsidRDefault="00CF0F8F" w:rsidP="000735C9">
      <w:pPr>
        <w:pStyle w:val="ListParagraph"/>
        <w:numPr>
          <w:ilvl w:val="0"/>
          <w:numId w:val="2"/>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14:paraId="2B3CCE02" w14:textId="77777777" w:rsidR="001D5C83" w:rsidRDefault="001D5C83" w:rsidP="00E110D4">
      <w:pPr>
        <w:pStyle w:val="ListParagraph"/>
        <w:spacing w:after="0" w:line="240" w:lineRule="auto"/>
        <w:rPr>
          <w:rFonts w:ascii="Verdana" w:hAnsi="Verdana" w:cs="Arial"/>
          <w:sz w:val="24"/>
          <w:szCs w:val="24"/>
        </w:rPr>
      </w:pPr>
    </w:p>
    <w:p w14:paraId="56B7FF90" w14:textId="77777777" w:rsidR="00B25749" w:rsidRDefault="00B25749" w:rsidP="00E110D4">
      <w:pPr>
        <w:pStyle w:val="ListParagraph"/>
        <w:spacing w:after="0" w:line="240" w:lineRule="auto"/>
        <w:rPr>
          <w:rFonts w:ascii="Verdana" w:hAnsi="Verdana" w:cs="Arial"/>
          <w:sz w:val="24"/>
          <w:szCs w:val="24"/>
        </w:rPr>
      </w:pPr>
    </w:p>
    <w:p w14:paraId="6BD4132C" w14:textId="77777777" w:rsidR="00136F21" w:rsidRDefault="00136F21" w:rsidP="00B25749">
      <w:pPr>
        <w:pStyle w:val="ListParagraph"/>
        <w:spacing w:after="0" w:line="240" w:lineRule="auto"/>
        <w:jc w:val="right"/>
        <w:rPr>
          <w:rFonts w:ascii="Verdana" w:hAnsi="Verdana" w:cs="Arial"/>
          <w:sz w:val="24"/>
          <w:szCs w:val="24"/>
        </w:rPr>
      </w:pPr>
    </w:p>
    <w:p w14:paraId="41F07359" w14:textId="77777777" w:rsidR="00136F21" w:rsidRDefault="00136F21" w:rsidP="00B25749">
      <w:pPr>
        <w:pStyle w:val="ListParagraph"/>
        <w:spacing w:after="0" w:line="240" w:lineRule="auto"/>
        <w:jc w:val="right"/>
        <w:rPr>
          <w:rFonts w:ascii="Verdana" w:hAnsi="Verdana" w:cs="Arial"/>
          <w:sz w:val="24"/>
          <w:szCs w:val="24"/>
        </w:rPr>
      </w:pPr>
    </w:p>
    <w:p w14:paraId="4085FA9E" w14:textId="77777777" w:rsidR="00136F21" w:rsidRDefault="00136F21" w:rsidP="00B25749">
      <w:pPr>
        <w:pStyle w:val="ListParagraph"/>
        <w:spacing w:after="0" w:line="240" w:lineRule="auto"/>
        <w:jc w:val="right"/>
        <w:rPr>
          <w:rFonts w:ascii="Verdana" w:hAnsi="Verdana" w:cs="Arial"/>
          <w:sz w:val="24"/>
          <w:szCs w:val="24"/>
        </w:rPr>
      </w:pPr>
    </w:p>
    <w:p w14:paraId="6EEC5EB4" w14:textId="77777777" w:rsidR="00C31EB3" w:rsidRDefault="00C31EB3" w:rsidP="00B25749">
      <w:pPr>
        <w:pStyle w:val="ListParagraph"/>
        <w:spacing w:after="0" w:line="240" w:lineRule="auto"/>
        <w:jc w:val="right"/>
        <w:rPr>
          <w:rFonts w:ascii="Verdana" w:hAnsi="Verdana" w:cs="Arial"/>
          <w:sz w:val="24"/>
          <w:szCs w:val="24"/>
        </w:rPr>
      </w:pPr>
      <w:r>
        <w:rPr>
          <w:rFonts w:ascii="Verdana" w:hAnsi="Verdana" w:cs="Arial"/>
          <w:sz w:val="24"/>
          <w:szCs w:val="24"/>
        </w:rPr>
        <w:br w:type="page"/>
      </w:r>
    </w:p>
    <w:p w14:paraId="7CFA2163" w14:textId="77777777" w:rsidR="00B25749" w:rsidRDefault="00B25749" w:rsidP="00B25749">
      <w:pPr>
        <w:pStyle w:val="ListParagraph"/>
        <w:spacing w:after="0" w:line="240" w:lineRule="auto"/>
        <w:jc w:val="right"/>
        <w:rPr>
          <w:rFonts w:ascii="Verdana" w:hAnsi="Verdana" w:cs="Arial"/>
          <w:sz w:val="24"/>
          <w:szCs w:val="24"/>
        </w:rPr>
      </w:pPr>
      <w:r>
        <w:rPr>
          <w:rFonts w:ascii="Verdana" w:hAnsi="Verdana" w:cs="Arial"/>
          <w:sz w:val="24"/>
          <w:szCs w:val="24"/>
        </w:rPr>
        <w:lastRenderedPageBreak/>
        <w:t>Appendix 1</w:t>
      </w:r>
    </w:p>
    <w:p w14:paraId="22DFD8DD" w14:textId="77777777" w:rsidR="00B25749" w:rsidRDefault="00B25749" w:rsidP="00B25749">
      <w:pPr>
        <w:pStyle w:val="ListParagraph"/>
        <w:spacing w:after="0" w:line="240" w:lineRule="auto"/>
        <w:jc w:val="right"/>
        <w:rPr>
          <w:rFonts w:ascii="Verdana" w:hAnsi="Verdana" w:cs="Arial"/>
          <w:sz w:val="24"/>
          <w:szCs w:val="24"/>
        </w:rPr>
      </w:pPr>
    </w:p>
    <w:p w14:paraId="008F608B" w14:textId="77777777" w:rsidR="00B25749" w:rsidRPr="007B2CAA" w:rsidRDefault="00B25749" w:rsidP="00B25749">
      <w:pPr>
        <w:pStyle w:val="ListParagraph"/>
        <w:spacing w:after="0" w:line="240" w:lineRule="auto"/>
        <w:rPr>
          <w:rFonts w:ascii="Verdana" w:hAnsi="Verdana" w:cs="Arial"/>
          <w:b/>
          <w:sz w:val="24"/>
          <w:szCs w:val="24"/>
        </w:rPr>
      </w:pPr>
      <w:r w:rsidRPr="007B2CAA">
        <w:rPr>
          <w:rFonts w:ascii="Verdana" w:hAnsi="Verdana" w:cs="Arial"/>
          <w:b/>
          <w:sz w:val="24"/>
          <w:szCs w:val="24"/>
        </w:rPr>
        <w:t xml:space="preserve">Patient Stories </w:t>
      </w:r>
    </w:p>
    <w:sectPr w:rsidR="00B25749" w:rsidRPr="007B2CAA" w:rsidSect="00BA1AF1">
      <w:headerReference w:type="default" r:id="rId19"/>
      <w:footerReference w:type="default" r:id="rId20"/>
      <w:headerReference w:type="first" r:id="rId21"/>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8B66E4" w14:textId="77777777" w:rsidR="003E7E79" w:rsidRDefault="003E7E79" w:rsidP="003E43AD">
      <w:pPr>
        <w:spacing w:after="0" w:line="240" w:lineRule="auto"/>
      </w:pPr>
      <w:r>
        <w:separator/>
      </w:r>
    </w:p>
  </w:endnote>
  <w:endnote w:type="continuationSeparator" w:id="0">
    <w:p w14:paraId="02A61492" w14:textId="77777777" w:rsidR="003E7E79" w:rsidRDefault="003E7E79"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F9B05" w14:textId="77777777" w:rsidR="00903F3C" w:rsidRPr="00344184" w:rsidRDefault="00903F3C"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03F3C" w14:paraId="4E00BB62" w14:textId="77777777" w:rsidTr="00047E87">
      <w:tc>
        <w:tcPr>
          <w:tcW w:w="4684" w:type="dxa"/>
        </w:tcPr>
        <w:p w14:paraId="3F9AEA61" w14:textId="77777777" w:rsidR="00903F3C" w:rsidRPr="00933C80" w:rsidRDefault="00903F3C">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903F3C" w:rsidRPr="00933C80" w:rsidRDefault="00CA33CF"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03F3C" w:rsidRPr="00933C80">
                <w:rPr>
                  <w:rFonts w:ascii="Verdana" w:hAnsi="Verdana" w:cs="Arial"/>
                  <w:b/>
                  <w:sz w:val="18"/>
                  <w:szCs w:val="20"/>
                </w:rPr>
                <w:t xml:space="preserve">Page </w:t>
              </w:r>
              <w:r w:rsidR="00903F3C" w:rsidRPr="00933C80">
                <w:rPr>
                  <w:rFonts w:ascii="Verdana" w:hAnsi="Verdana" w:cs="Arial"/>
                  <w:b/>
                  <w:bCs/>
                  <w:sz w:val="18"/>
                  <w:szCs w:val="20"/>
                </w:rPr>
                <w:fldChar w:fldCharType="begin"/>
              </w:r>
              <w:r w:rsidR="00903F3C" w:rsidRPr="00933C80">
                <w:rPr>
                  <w:rFonts w:ascii="Verdana" w:hAnsi="Verdana" w:cs="Arial"/>
                  <w:b/>
                  <w:bCs/>
                  <w:sz w:val="18"/>
                  <w:szCs w:val="20"/>
                </w:rPr>
                <w:instrText xml:space="preserve"> PAGE </w:instrText>
              </w:r>
              <w:r w:rsidR="00903F3C" w:rsidRPr="00933C80">
                <w:rPr>
                  <w:rFonts w:ascii="Verdana" w:hAnsi="Verdana" w:cs="Arial"/>
                  <w:b/>
                  <w:bCs/>
                  <w:sz w:val="18"/>
                  <w:szCs w:val="20"/>
                </w:rPr>
                <w:fldChar w:fldCharType="separate"/>
              </w:r>
              <w:r>
                <w:rPr>
                  <w:rFonts w:ascii="Verdana" w:hAnsi="Verdana" w:cs="Arial"/>
                  <w:b/>
                  <w:bCs/>
                  <w:noProof/>
                  <w:sz w:val="18"/>
                  <w:szCs w:val="20"/>
                </w:rPr>
                <w:t>5</w:t>
              </w:r>
              <w:r w:rsidR="00903F3C" w:rsidRPr="00933C80">
                <w:rPr>
                  <w:rFonts w:ascii="Verdana" w:hAnsi="Verdana" w:cs="Arial"/>
                  <w:b/>
                  <w:bCs/>
                  <w:sz w:val="18"/>
                  <w:szCs w:val="20"/>
                </w:rPr>
                <w:fldChar w:fldCharType="end"/>
              </w:r>
              <w:r w:rsidR="00903F3C" w:rsidRPr="00933C80">
                <w:rPr>
                  <w:rFonts w:ascii="Verdana" w:hAnsi="Verdana" w:cs="Arial"/>
                  <w:b/>
                  <w:sz w:val="18"/>
                  <w:szCs w:val="20"/>
                </w:rPr>
                <w:t xml:space="preserve"> of </w:t>
              </w:r>
              <w:r w:rsidR="00903F3C" w:rsidRPr="00933C80">
                <w:rPr>
                  <w:rFonts w:ascii="Verdana" w:hAnsi="Verdana" w:cs="Arial"/>
                  <w:b/>
                  <w:bCs/>
                  <w:sz w:val="18"/>
                  <w:szCs w:val="20"/>
                </w:rPr>
                <w:fldChar w:fldCharType="begin"/>
              </w:r>
              <w:r w:rsidR="00903F3C" w:rsidRPr="00933C80">
                <w:rPr>
                  <w:rFonts w:ascii="Verdana" w:hAnsi="Verdana" w:cs="Arial"/>
                  <w:b/>
                  <w:bCs/>
                  <w:sz w:val="18"/>
                  <w:szCs w:val="20"/>
                </w:rPr>
                <w:instrText xml:space="preserve"> NUMPAGES  </w:instrText>
              </w:r>
              <w:r w:rsidR="00903F3C" w:rsidRPr="00933C80">
                <w:rPr>
                  <w:rFonts w:ascii="Verdana" w:hAnsi="Verdana" w:cs="Arial"/>
                  <w:b/>
                  <w:bCs/>
                  <w:sz w:val="18"/>
                  <w:szCs w:val="20"/>
                </w:rPr>
                <w:fldChar w:fldCharType="separate"/>
              </w:r>
              <w:r>
                <w:rPr>
                  <w:rFonts w:ascii="Verdana" w:hAnsi="Verdana" w:cs="Arial"/>
                  <w:b/>
                  <w:bCs/>
                  <w:noProof/>
                  <w:sz w:val="18"/>
                  <w:szCs w:val="20"/>
                </w:rPr>
                <w:t>21</w:t>
              </w:r>
              <w:r w:rsidR="00903F3C" w:rsidRPr="00933C80">
                <w:rPr>
                  <w:rFonts w:ascii="Verdana" w:hAnsi="Verdana" w:cs="Arial"/>
                  <w:b/>
                  <w:bCs/>
                  <w:sz w:val="18"/>
                  <w:szCs w:val="20"/>
                </w:rPr>
                <w:fldChar w:fldCharType="end"/>
              </w:r>
            </w:sdtContent>
          </w:sdt>
        </w:p>
      </w:tc>
      <w:tc>
        <w:tcPr>
          <w:tcW w:w="5103" w:type="dxa"/>
        </w:tcPr>
        <w:p w14:paraId="69E4C443" w14:textId="77777777" w:rsidR="00903F3C" w:rsidRDefault="00903F3C"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903F3C" w:rsidRPr="00933C80" w:rsidRDefault="00903F3C"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77777777" w:rsidR="00903F3C" w:rsidRPr="00933C80" w:rsidRDefault="00903F3C" w:rsidP="00BB6614">
          <w:pPr>
            <w:pStyle w:val="Footer"/>
            <w:jc w:val="right"/>
            <w:rPr>
              <w:rFonts w:ascii="Verdana" w:hAnsi="Verdana"/>
              <w:b/>
              <w:sz w:val="18"/>
              <w:szCs w:val="20"/>
            </w:rPr>
          </w:pPr>
          <w:r>
            <w:rPr>
              <w:rFonts w:ascii="Verdana" w:hAnsi="Verdana"/>
              <w:b/>
              <w:sz w:val="18"/>
              <w:szCs w:val="20"/>
            </w:rPr>
            <w:t xml:space="preserve">09 March </w:t>
          </w:r>
          <w:r w:rsidRPr="00933C80">
            <w:rPr>
              <w:rFonts w:ascii="Verdana" w:hAnsi="Verdana"/>
              <w:b/>
              <w:sz w:val="18"/>
              <w:szCs w:val="20"/>
            </w:rPr>
            <w:t>202</w:t>
          </w:r>
          <w:r>
            <w:rPr>
              <w:rFonts w:ascii="Verdana" w:hAnsi="Verdana"/>
              <w:b/>
              <w:sz w:val="18"/>
              <w:szCs w:val="20"/>
            </w:rPr>
            <w:t>1</w:t>
          </w:r>
        </w:p>
      </w:tc>
    </w:tr>
  </w:tbl>
  <w:p w14:paraId="0D218435" w14:textId="77777777" w:rsidR="00903F3C" w:rsidRPr="00344184" w:rsidRDefault="00903F3C">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575C37" w14:textId="77777777" w:rsidR="003E7E79" w:rsidRDefault="003E7E79" w:rsidP="003E43AD">
      <w:pPr>
        <w:spacing w:after="0" w:line="240" w:lineRule="auto"/>
      </w:pPr>
      <w:r>
        <w:separator/>
      </w:r>
    </w:p>
  </w:footnote>
  <w:footnote w:type="continuationSeparator" w:id="0">
    <w:p w14:paraId="7035DBC9" w14:textId="77777777" w:rsidR="003E7E79" w:rsidRDefault="003E7E79"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A46F4A" w14:textId="77777777" w:rsidR="00903F3C" w:rsidRDefault="00903F3C" w:rsidP="00345EE2">
    <w:pPr>
      <w:pStyle w:val="Header"/>
      <w:jc w:val="center"/>
    </w:pPr>
    <w:r w:rsidRPr="00E4493C">
      <w:rPr>
        <w:noProof/>
        <w:color w:val="000000"/>
        <w:lang w:val="en-GB" w:eastAsia="en-GB"/>
      </w:rPr>
      <w:drawing>
        <wp:inline distT="0" distB="0" distL="0" distR="0" wp14:anchorId="40627388" wp14:editId="1BF6FA9B">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B4E27B2" w14:textId="77777777" w:rsidR="00903F3C" w:rsidRPr="00344184" w:rsidRDefault="00903F3C">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857B6F" w14:textId="77777777" w:rsidR="00903F3C" w:rsidRDefault="00903F3C" w:rsidP="00345EE2">
    <w:pPr>
      <w:pStyle w:val="Header"/>
      <w:jc w:val="center"/>
    </w:pPr>
    <w:r w:rsidRPr="00E4493C">
      <w:rPr>
        <w:noProof/>
        <w:color w:val="000000"/>
        <w:lang w:val="en-GB" w:eastAsia="en-GB"/>
      </w:rPr>
      <w:drawing>
        <wp:inline distT="0" distB="0" distL="0" distR="0" wp14:anchorId="6CF8C9BF" wp14:editId="1F60A27E">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4DD0DA4" w14:textId="77777777" w:rsidR="00903F3C" w:rsidRDefault="00903F3C"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27C6353"/>
    <w:multiLevelType w:val="hybridMultilevel"/>
    <w:tmpl w:val="F202CC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8"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0"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5"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7" w15:restartNumberingAfterBreak="0">
    <w:nsid w:val="77887C6D"/>
    <w:multiLevelType w:val="hybridMultilevel"/>
    <w:tmpl w:val="5614D1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0"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5"/>
  </w:num>
  <w:num w:numId="2">
    <w:abstractNumId w:val="3"/>
  </w:num>
  <w:num w:numId="3">
    <w:abstractNumId w:val="2"/>
  </w:num>
  <w:num w:numId="4">
    <w:abstractNumId w:val="8"/>
  </w:num>
  <w:num w:numId="5">
    <w:abstractNumId w:val="20"/>
  </w:num>
  <w:num w:numId="6">
    <w:abstractNumId w:val="14"/>
  </w:num>
  <w:num w:numId="7">
    <w:abstractNumId w:val="19"/>
  </w:num>
  <w:num w:numId="8">
    <w:abstractNumId w:val="18"/>
  </w:num>
  <w:num w:numId="9">
    <w:abstractNumId w:val="1"/>
  </w:num>
  <w:num w:numId="10">
    <w:abstractNumId w:val="15"/>
  </w:num>
  <w:num w:numId="11">
    <w:abstractNumId w:val="9"/>
  </w:num>
  <w:num w:numId="12">
    <w:abstractNumId w:val="12"/>
  </w:num>
  <w:num w:numId="13">
    <w:abstractNumId w:val="6"/>
  </w:num>
  <w:num w:numId="14">
    <w:abstractNumId w:val="10"/>
  </w:num>
  <w:num w:numId="15">
    <w:abstractNumId w:val="11"/>
  </w:num>
  <w:num w:numId="16">
    <w:abstractNumId w:val="4"/>
  </w:num>
  <w:num w:numId="17">
    <w:abstractNumId w:val="13"/>
  </w:num>
  <w:num w:numId="18">
    <w:abstractNumId w:val="17"/>
  </w:num>
  <w:num w:numId="19">
    <w:abstractNumId w:val="7"/>
  </w:num>
  <w:num w:numId="20">
    <w:abstractNumId w:val="16"/>
  </w:num>
  <w:num w:numId="21">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062"/>
    <w:rsid w:val="00013C50"/>
    <w:rsid w:val="0001731D"/>
    <w:rsid w:val="00020F01"/>
    <w:rsid w:val="00022998"/>
    <w:rsid w:val="00024939"/>
    <w:rsid w:val="00024C88"/>
    <w:rsid w:val="000254B1"/>
    <w:rsid w:val="00025A71"/>
    <w:rsid w:val="00025C12"/>
    <w:rsid w:val="0003001C"/>
    <w:rsid w:val="0003112D"/>
    <w:rsid w:val="00034B97"/>
    <w:rsid w:val="00043A16"/>
    <w:rsid w:val="00047E87"/>
    <w:rsid w:val="0005040C"/>
    <w:rsid w:val="00051C48"/>
    <w:rsid w:val="00063FCF"/>
    <w:rsid w:val="000731AD"/>
    <w:rsid w:val="0007346B"/>
    <w:rsid w:val="000735C9"/>
    <w:rsid w:val="00076E9C"/>
    <w:rsid w:val="000804F4"/>
    <w:rsid w:val="00081198"/>
    <w:rsid w:val="00082004"/>
    <w:rsid w:val="00084FED"/>
    <w:rsid w:val="000873E6"/>
    <w:rsid w:val="0009094D"/>
    <w:rsid w:val="00093703"/>
    <w:rsid w:val="000967B5"/>
    <w:rsid w:val="000A14EC"/>
    <w:rsid w:val="000A3DC6"/>
    <w:rsid w:val="000A588A"/>
    <w:rsid w:val="000B1FB1"/>
    <w:rsid w:val="000B4302"/>
    <w:rsid w:val="000C4659"/>
    <w:rsid w:val="000C4DE9"/>
    <w:rsid w:val="000D241A"/>
    <w:rsid w:val="000D74A1"/>
    <w:rsid w:val="000E0B65"/>
    <w:rsid w:val="000F0382"/>
    <w:rsid w:val="001004C2"/>
    <w:rsid w:val="001041A8"/>
    <w:rsid w:val="0011023E"/>
    <w:rsid w:val="0012771F"/>
    <w:rsid w:val="00136F21"/>
    <w:rsid w:val="001468E1"/>
    <w:rsid w:val="001507F6"/>
    <w:rsid w:val="00150C3F"/>
    <w:rsid w:val="00157FAC"/>
    <w:rsid w:val="00163197"/>
    <w:rsid w:val="00165F24"/>
    <w:rsid w:val="00170B86"/>
    <w:rsid w:val="0017112C"/>
    <w:rsid w:val="00183B48"/>
    <w:rsid w:val="00184623"/>
    <w:rsid w:val="0019519C"/>
    <w:rsid w:val="001A4358"/>
    <w:rsid w:val="001A56C8"/>
    <w:rsid w:val="001B439D"/>
    <w:rsid w:val="001D08F5"/>
    <w:rsid w:val="001D0B7B"/>
    <w:rsid w:val="001D5C83"/>
    <w:rsid w:val="001E19A4"/>
    <w:rsid w:val="001E4F67"/>
    <w:rsid w:val="00210BD1"/>
    <w:rsid w:val="00212321"/>
    <w:rsid w:val="00223C86"/>
    <w:rsid w:val="002338B8"/>
    <w:rsid w:val="0025429D"/>
    <w:rsid w:val="00255EF1"/>
    <w:rsid w:val="00261366"/>
    <w:rsid w:val="00281D69"/>
    <w:rsid w:val="00282EEA"/>
    <w:rsid w:val="002839C3"/>
    <w:rsid w:val="00296438"/>
    <w:rsid w:val="002A066F"/>
    <w:rsid w:val="002A288B"/>
    <w:rsid w:val="002B5D2A"/>
    <w:rsid w:val="002B6184"/>
    <w:rsid w:val="002B700A"/>
    <w:rsid w:val="002C2444"/>
    <w:rsid w:val="002D02D2"/>
    <w:rsid w:val="002D2717"/>
    <w:rsid w:val="002E66F3"/>
    <w:rsid w:val="002F3A0D"/>
    <w:rsid w:val="00304120"/>
    <w:rsid w:val="003247D4"/>
    <w:rsid w:val="003253AD"/>
    <w:rsid w:val="00325A46"/>
    <w:rsid w:val="00344184"/>
    <w:rsid w:val="00345653"/>
    <w:rsid w:val="00345EE2"/>
    <w:rsid w:val="00356EC7"/>
    <w:rsid w:val="003718C6"/>
    <w:rsid w:val="003771BE"/>
    <w:rsid w:val="00380B51"/>
    <w:rsid w:val="00386E88"/>
    <w:rsid w:val="00395D15"/>
    <w:rsid w:val="00396135"/>
    <w:rsid w:val="003A086E"/>
    <w:rsid w:val="003A5B68"/>
    <w:rsid w:val="003A5C39"/>
    <w:rsid w:val="003A5E9B"/>
    <w:rsid w:val="003A7121"/>
    <w:rsid w:val="003B23D0"/>
    <w:rsid w:val="003C4CCD"/>
    <w:rsid w:val="003C5D58"/>
    <w:rsid w:val="003C6312"/>
    <w:rsid w:val="003D712A"/>
    <w:rsid w:val="003D7FDB"/>
    <w:rsid w:val="003E2FB0"/>
    <w:rsid w:val="003E43AD"/>
    <w:rsid w:val="003E7E79"/>
    <w:rsid w:val="003F282C"/>
    <w:rsid w:val="003F40A1"/>
    <w:rsid w:val="00400791"/>
    <w:rsid w:val="00401D1F"/>
    <w:rsid w:val="00402722"/>
    <w:rsid w:val="0041542C"/>
    <w:rsid w:val="00421932"/>
    <w:rsid w:val="00421FEA"/>
    <w:rsid w:val="00424248"/>
    <w:rsid w:val="004265BA"/>
    <w:rsid w:val="00436EC3"/>
    <w:rsid w:val="00441F99"/>
    <w:rsid w:val="004459D9"/>
    <w:rsid w:val="00457AC7"/>
    <w:rsid w:val="0046035B"/>
    <w:rsid w:val="00463B6C"/>
    <w:rsid w:val="004767BE"/>
    <w:rsid w:val="00483F56"/>
    <w:rsid w:val="0048415E"/>
    <w:rsid w:val="004847EC"/>
    <w:rsid w:val="004926E6"/>
    <w:rsid w:val="00493CD8"/>
    <w:rsid w:val="0049517E"/>
    <w:rsid w:val="004A1B43"/>
    <w:rsid w:val="004A3862"/>
    <w:rsid w:val="004A6424"/>
    <w:rsid w:val="004A76A4"/>
    <w:rsid w:val="004B1B0B"/>
    <w:rsid w:val="004B40A9"/>
    <w:rsid w:val="004C40BF"/>
    <w:rsid w:val="004C6BE2"/>
    <w:rsid w:val="004C7B5E"/>
    <w:rsid w:val="004D4D0B"/>
    <w:rsid w:val="004D71B0"/>
    <w:rsid w:val="004F3890"/>
    <w:rsid w:val="0050158E"/>
    <w:rsid w:val="005026C5"/>
    <w:rsid w:val="00502758"/>
    <w:rsid w:val="00504287"/>
    <w:rsid w:val="00510740"/>
    <w:rsid w:val="00521873"/>
    <w:rsid w:val="00545488"/>
    <w:rsid w:val="00547FA5"/>
    <w:rsid w:val="0057170B"/>
    <w:rsid w:val="00577535"/>
    <w:rsid w:val="005802A6"/>
    <w:rsid w:val="005813EE"/>
    <w:rsid w:val="005848A6"/>
    <w:rsid w:val="00587266"/>
    <w:rsid w:val="005924AB"/>
    <w:rsid w:val="00594A95"/>
    <w:rsid w:val="0059729A"/>
    <w:rsid w:val="005A0836"/>
    <w:rsid w:val="005A0E27"/>
    <w:rsid w:val="005A6A95"/>
    <w:rsid w:val="005C0676"/>
    <w:rsid w:val="005C4260"/>
    <w:rsid w:val="005D0464"/>
    <w:rsid w:val="005D06F5"/>
    <w:rsid w:val="005E14D3"/>
    <w:rsid w:val="005E2101"/>
    <w:rsid w:val="005F08E9"/>
    <w:rsid w:val="005F7CB1"/>
    <w:rsid w:val="00612035"/>
    <w:rsid w:val="006143CD"/>
    <w:rsid w:val="006177BF"/>
    <w:rsid w:val="00634623"/>
    <w:rsid w:val="00635C19"/>
    <w:rsid w:val="00641409"/>
    <w:rsid w:val="00652117"/>
    <w:rsid w:val="00653C04"/>
    <w:rsid w:val="006617E2"/>
    <w:rsid w:val="00664282"/>
    <w:rsid w:val="006676B3"/>
    <w:rsid w:val="00670F9C"/>
    <w:rsid w:val="006733AE"/>
    <w:rsid w:val="006802A0"/>
    <w:rsid w:val="00681B43"/>
    <w:rsid w:val="006850E8"/>
    <w:rsid w:val="00691EDF"/>
    <w:rsid w:val="006964F1"/>
    <w:rsid w:val="006A3CE4"/>
    <w:rsid w:val="006A7DA6"/>
    <w:rsid w:val="006B1F5F"/>
    <w:rsid w:val="006B40A8"/>
    <w:rsid w:val="006B56A4"/>
    <w:rsid w:val="006C13C9"/>
    <w:rsid w:val="006C3C79"/>
    <w:rsid w:val="006C53DA"/>
    <w:rsid w:val="006D691E"/>
    <w:rsid w:val="006D7D02"/>
    <w:rsid w:val="006F3453"/>
    <w:rsid w:val="006F3FF5"/>
    <w:rsid w:val="006F53B6"/>
    <w:rsid w:val="006F75F0"/>
    <w:rsid w:val="00700B38"/>
    <w:rsid w:val="00701151"/>
    <w:rsid w:val="007154B4"/>
    <w:rsid w:val="00716A7A"/>
    <w:rsid w:val="00723BF8"/>
    <w:rsid w:val="00726EB0"/>
    <w:rsid w:val="0073656F"/>
    <w:rsid w:val="00737E25"/>
    <w:rsid w:val="00747CDC"/>
    <w:rsid w:val="00751534"/>
    <w:rsid w:val="00754D5B"/>
    <w:rsid w:val="007551C5"/>
    <w:rsid w:val="007563F7"/>
    <w:rsid w:val="00757E24"/>
    <w:rsid w:val="00767D4E"/>
    <w:rsid w:val="007724F5"/>
    <w:rsid w:val="00773662"/>
    <w:rsid w:val="007748D6"/>
    <w:rsid w:val="00780203"/>
    <w:rsid w:val="0079045E"/>
    <w:rsid w:val="0079542C"/>
    <w:rsid w:val="0079710D"/>
    <w:rsid w:val="007A2BA3"/>
    <w:rsid w:val="007A6C12"/>
    <w:rsid w:val="007B2CAA"/>
    <w:rsid w:val="007B2F89"/>
    <w:rsid w:val="007B5B7F"/>
    <w:rsid w:val="007C0506"/>
    <w:rsid w:val="007C2548"/>
    <w:rsid w:val="007D0B6E"/>
    <w:rsid w:val="007D3C6E"/>
    <w:rsid w:val="007D531E"/>
    <w:rsid w:val="007F0937"/>
    <w:rsid w:val="007F1769"/>
    <w:rsid w:val="007F2630"/>
    <w:rsid w:val="007F28B5"/>
    <w:rsid w:val="007F6050"/>
    <w:rsid w:val="0080018C"/>
    <w:rsid w:val="00807A0A"/>
    <w:rsid w:val="00810272"/>
    <w:rsid w:val="00811987"/>
    <w:rsid w:val="00816502"/>
    <w:rsid w:val="00822A00"/>
    <w:rsid w:val="008268F8"/>
    <w:rsid w:val="0083034D"/>
    <w:rsid w:val="008508A8"/>
    <w:rsid w:val="00851050"/>
    <w:rsid w:val="008532F1"/>
    <w:rsid w:val="00853351"/>
    <w:rsid w:val="0086070F"/>
    <w:rsid w:val="00861CE5"/>
    <w:rsid w:val="00862E1C"/>
    <w:rsid w:val="008641AF"/>
    <w:rsid w:val="008713AB"/>
    <w:rsid w:val="00871598"/>
    <w:rsid w:val="00873532"/>
    <w:rsid w:val="00875943"/>
    <w:rsid w:val="00877336"/>
    <w:rsid w:val="00880514"/>
    <w:rsid w:val="008933D2"/>
    <w:rsid w:val="00894EAA"/>
    <w:rsid w:val="008A421F"/>
    <w:rsid w:val="008A489F"/>
    <w:rsid w:val="008A49ED"/>
    <w:rsid w:val="008B2A58"/>
    <w:rsid w:val="008C3F1D"/>
    <w:rsid w:val="008D2A43"/>
    <w:rsid w:val="008D534D"/>
    <w:rsid w:val="008E2CEA"/>
    <w:rsid w:val="008E5494"/>
    <w:rsid w:val="008F13FD"/>
    <w:rsid w:val="008F1E88"/>
    <w:rsid w:val="008F7748"/>
    <w:rsid w:val="009035AC"/>
    <w:rsid w:val="00903F3C"/>
    <w:rsid w:val="00905FF7"/>
    <w:rsid w:val="00906D9A"/>
    <w:rsid w:val="00910029"/>
    <w:rsid w:val="00925EEC"/>
    <w:rsid w:val="009265C5"/>
    <w:rsid w:val="00927D8A"/>
    <w:rsid w:val="00930A20"/>
    <w:rsid w:val="00933C80"/>
    <w:rsid w:val="00937F07"/>
    <w:rsid w:val="00951B06"/>
    <w:rsid w:val="00954274"/>
    <w:rsid w:val="00967DCA"/>
    <w:rsid w:val="00970970"/>
    <w:rsid w:val="009709F2"/>
    <w:rsid w:val="0097572A"/>
    <w:rsid w:val="00987875"/>
    <w:rsid w:val="00994D8D"/>
    <w:rsid w:val="00995DDE"/>
    <w:rsid w:val="0099687F"/>
    <w:rsid w:val="009A3FDB"/>
    <w:rsid w:val="009B6215"/>
    <w:rsid w:val="009D08F6"/>
    <w:rsid w:val="009D77A2"/>
    <w:rsid w:val="009E0A3B"/>
    <w:rsid w:val="009E10B7"/>
    <w:rsid w:val="009E52B7"/>
    <w:rsid w:val="009E6DE1"/>
    <w:rsid w:val="009F46CF"/>
    <w:rsid w:val="00A1247D"/>
    <w:rsid w:val="00A201FF"/>
    <w:rsid w:val="00A22E93"/>
    <w:rsid w:val="00A3172B"/>
    <w:rsid w:val="00A46A8B"/>
    <w:rsid w:val="00A51464"/>
    <w:rsid w:val="00A617BF"/>
    <w:rsid w:val="00A63B11"/>
    <w:rsid w:val="00A66377"/>
    <w:rsid w:val="00A66B3F"/>
    <w:rsid w:val="00A72602"/>
    <w:rsid w:val="00A777C9"/>
    <w:rsid w:val="00A80994"/>
    <w:rsid w:val="00A83478"/>
    <w:rsid w:val="00A839D2"/>
    <w:rsid w:val="00A8686B"/>
    <w:rsid w:val="00A95218"/>
    <w:rsid w:val="00A97B5E"/>
    <w:rsid w:val="00AA0BE1"/>
    <w:rsid w:val="00AA22E1"/>
    <w:rsid w:val="00AA3294"/>
    <w:rsid w:val="00AB0CF1"/>
    <w:rsid w:val="00AC3A4B"/>
    <w:rsid w:val="00AE747C"/>
    <w:rsid w:val="00AE7DBC"/>
    <w:rsid w:val="00AF0AD0"/>
    <w:rsid w:val="00AF41B9"/>
    <w:rsid w:val="00B03234"/>
    <w:rsid w:val="00B03E75"/>
    <w:rsid w:val="00B12DEC"/>
    <w:rsid w:val="00B13942"/>
    <w:rsid w:val="00B23D4C"/>
    <w:rsid w:val="00B25749"/>
    <w:rsid w:val="00B276ED"/>
    <w:rsid w:val="00B31F61"/>
    <w:rsid w:val="00B33FC6"/>
    <w:rsid w:val="00B3409A"/>
    <w:rsid w:val="00B34795"/>
    <w:rsid w:val="00B42030"/>
    <w:rsid w:val="00B6264F"/>
    <w:rsid w:val="00B62DCA"/>
    <w:rsid w:val="00B71CD6"/>
    <w:rsid w:val="00B83C85"/>
    <w:rsid w:val="00B95EB8"/>
    <w:rsid w:val="00BA0224"/>
    <w:rsid w:val="00BA1AF1"/>
    <w:rsid w:val="00BA1F2E"/>
    <w:rsid w:val="00BB1812"/>
    <w:rsid w:val="00BB1F20"/>
    <w:rsid w:val="00BB5481"/>
    <w:rsid w:val="00BB6614"/>
    <w:rsid w:val="00BB72EF"/>
    <w:rsid w:val="00BC21B2"/>
    <w:rsid w:val="00BC23A1"/>
    <w:rsid w:val="00BE53BA"/>
    <w:rsid w:val="00BF78FC"/>
    <w:rsid w:val="00C00B3C"/>
    <w:rsid w:val="00C1389D"/>
    <w:rsid w:val="00C31EB3"/>
    <w:rsid w:val="00C35F61"/>
    <w:rsid w:val="00C41AFC"/>
    <w:rsid w:val="00C45E2D"/>
    <w:rsid w:val="00C47144"/>
    <w:rsid w:val="00C502E0"/>
    <w:rsid w:val="00C52F2D"/>
    <w:rsid w:val="00C5725D"/>
    <w:rsid w:val="00C70319"/>
    <w:rsid w:val="00C76C13"/>
    <w:rsid w:val="00CA33CF"/>
    <w:rsid w:val="00CA374F"/>
    <w:rsid w:val="00CA3C4A"/>
    <w:rsid w:val="00CB7D49"/>
    <w:rsid w:val="00CC6203"/>
    <w:rsid w:val="00CC657D"/>
    <w:rsid w:val="00CE2C60"/>
    <w:rsid w:val="00CF0F8F"/>
    <w:rsid w:val="00CF44D5"/>
    <w:rsid w:val="00D004F2"/>
    <w:rsid w:val="00D03A9E"/>
    <w:rsid w:val="00D0789D"/>
    <w:rsid w:val="00D12A22"/>
    <w:rsid w:val="00D149FF"/>
    <w:rsid w:val="00D221CF"/>
    <w:rsid w:val="00D227B8"/>
    <w:rsid w:val="00D345B3"/>
    <w:rsid w:val="00D403E8"/>
    <w:rsid w:val="00D46108"/>
    <w:rsid w:val="00D46FF9"/>
    <w:rsid w:val="00D50D29"/>
    <w:rsid w:val="00D531C1"/>
    <w:rsid w:val="00D6368F"/>
    <w:rsid w:val="00D666AF"/>
    <w:rsid w:val="00D74E35"/>
    <w:rsid w:val="00D775B4"/>
    <w:rsid w:val="00D80416"/>
    <w:rsid w:val="00D811B1"/>
    <w:rsid w:val="00D81EAE"/>
    <w:rsid w:val="00D832E1"/>
    <w:rsid w:val="00D83B6D"/>
    <w:rsid w:val="00D95DDA"/>
    <w:rsid w:val="00DA5065"/>
    <w:rsid w:val="00DA5CED"/>
    <w:rsid w:val="00DA5F0F"/>
    <w:rsid w:val="00DA7EF2"/>
    <w:rsid w:val="00DB7FCB"/>
    <w:rsid w:val="00DC0AB8"/>
    <w:rsid w:val="00DC3B4C"/>
    <w:rsid w:val="00DD41DD"/>
    <w:rsid w:val="00DD557D"/>
    <w:rsid w:val="00DD7AAB"/>
    <w:rsid w:val="00DF5A60"/>
    <w:rsid w:val="00DF681C"/>
    <w:rsid w:val="00DF7D0A"/>
    <w:rsid w:val="00E07B2F"/>
    <w:rsid w:val="00E110D4"/>
    <w:rsid w:val="00E13F72"/>
    <w:rsid w:val="00E20E52"/>
    <w:rsid w:val="00E22F43"/>
    <w:rsid w:val="00E23974"/>
    <w:rsid w:val="00E23B12"/>
    <w:rsid w:val="00E27E78"/>
    <w:rsid w:val="00E352A8"/>
    <w:rsid w:val="00E355DB"/>
    <w:rsid w:val="00E47A8D"/>
    <w:rsid w:val="00E55D6E"/>
    <w:rsid w:val="00E61E11"/>
    <w:rsid w:val="00E65705"/>
    <w:rsid w:val="00E75325"/>
    <w:rsid w:val="00E80361"/>
    <w:rsid w:val="00E90D9F"/>
    <w:rsid w:val="00E961C0"/>
    <w:rsid w:val="00E97D1A"/>
    <w:rsid w:val="00EA7C24"/>
    <w:rsid w:val="00EC35CA"/>
    <w:rsid w:val="00EC54C6"/>
    <w:rsid w:val="00EC5F90"/>
    <w:rsid w:val="00ED79FF"/>
    <w:rsid w:val="00EE1FAC"/>
    <w:rsid w:val="00EE4BD0"/>
    <w:rsid w:val="00EF3247"/>
    <w:rsid w:val="00F0299C"/>
    <w:rsid w:val="00F04B7E"/>
    <w:rsid w:val="00F16CE6"/>
    <w:rsid w:val="00F36769"/>
    <w:rsid w:val="00F40ED4"/>
    <w:rsid w:val="00F40F8B"/>
    <w:rsid w:val="00F51C1D"/>
    <w:rsid w:val="00F55894"/>
    <w:rsid w:val="00F5601A"/>
    <w:rsid w:val="00F83D60"/>
    <w:rsid w:val="00F915F0"/>
    <w:rsid w:val="00F9202B"/>
    <w:rsid w:val="00FC385C"/>
    <w:rsid w:val="00FC6829"/>
    <w:rsid w:val="00FD119F"/>
    <w:rsid w:val="00FD419E"/>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3E0712A"/>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1969967932">
          <w:marLeft w:val="547"/>
          <w:marRight w:val="0"/>
          <w:marTop w:val="115"/>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230385202">
          <w:marLeft w:val="547"/>
          <w:marRight w:val="0"/>
          <w:marTop w:val="115"/>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 w:id="67919804">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560403026">
          <w:marLeft w:val="547"/>
          <w:marRight w:val="0"/>
          <w:marTop w:val="96"/>
          <w:marBottom w:val="0"/>
          <w:divBdr>
            <w:top w:val="none" w:sz="0" w:space="0" w:color="auto"/>
            <w:left w:val="none" w:sz="0" w:space="0" w:color="auto"/>
            <w:bottom w:val="none" w:sz="0" w:space="0" w:color="auto"/>
            <w:right w:val="none" w:sz="0" w:space="0" w:color="auto"/>
          </w:divBdr>
        </w:div>
        <w:div w:id="269632494">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1208302238">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67195196">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 w:id="685138157">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6.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5.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3" Type="http://schemas.openxmlformats.org/officeDocument/2006/relationships/oleObject" Target="file:///\\se-fp-c01\shared\Ambulance\Planning%20and%20Performance%20Management\(2)%20Performance\(2)%20IPR\(6)%20IPR%20202021\(10)%20January%202021\Working%20Folder\Graph%20Files\IPR%20Graphs%20January%202021.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t>% of Emergency responses to Red Calls arriving within (up to</a:t>
            </a:r>
            <a:r>
              <a:rPr lang="en-US" sz="1200" baseline="0"/>
              <a:t> and including) 8 Minutes </a:t>
            </a:r>
            <a:endParaRPr lang="en-US" sz="1200"/>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1528734898941219E-2"/>
          <c:y val="0.1928528648432821"/>
          <c:w val="0.89438543195019382"/>
          <c:h val="0.55143356132190402"/>
        </c:manualLayout>
      </c:layout>
      <c:barChart>
        <c:barDir val="col"/>
        <c:grouping val="clustered"/>
        <c:varyColors val="0"/>
        <c:ser>
          <c:idx val="0"/>
          <c:order val="0"/>
          <c:tx>
            <c:strRef>
              <c:f>'Red Performance'!$C$4</c:f>
              <c:strCache>
                <c:ptCount val="1"/>
                <c:pt idx="0">
                  <c:v>% of emergency responses to red calls arriving within (up to and including) 8 minutes
</c:v>
                </c:pt>
              </c:strCache>
            </c:strRef>
          </c:tx>
          <c:spPr>
            <a:solidFill>
              <a:srgbClr val="FF0000"/>
            </a:solidFill>
            <a:ln>
              <a:noFill/>
            </a:ln>
            <a:effectLst/>
          </c:spPr>
          <c:invertIfNegative val="0"/>
          <c:dLbls>
            <c:dLbl>
              <c:idx val="22"/>
              <c:layout>
                <c:manualLayout>
                  <c:x val="-1.6232979787536283E-16"/>
                  <c:y val="0.10246350785099231"/>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B39-4941-A267-F1F47DF45F44}"/>
                </c:ext>
                <c:ext xmlns:c15="http://schemas.microsoft.com/office/drawing/2012/chart" uri="{CE6537A1-D6FC-4f65-9D91-7224C49458BB}">
                  <c15:layout/>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'Red Performance'!$M$3:$AJ$3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'Red Performance'!$M$4:$AJ$4</c:f>
              <c:numCache>
                <c:formatCode>0.0%</c:formatCode>
                <c:ptCount val="24"/>
                <c:pt idx="0">
                  <c:v>0.72399999999999998</c:v>
                </c:pt>
                <c:pt idx="1">
                  <c:v>0.71200000000000008</c:v>
                </c:pt>
                <c:pt idx="2">
                  <c:v>0.70299999999999996</c:v>
                </c:pt>
                <c:pt idx="3">
                  <c:v>0.70199999999999996</c:v>
                </c:pt>
                <c:pt idx="4">
                  <c:v>0.72499999999999998</c:v>
                </c:pt>
                <c:pt idx="5">
                  <c:v>0.69299999999999995</c:v>
                </c:pt>
                <c:pt idx="6">
                  <c:v>0.69</c:v>
                </c:pt>
                <c:pt idx="7">
                  <c:v>0.68400000000000005</c:v>
                </c:pt>
                <c:pt idx="8">
                  <c:v>0.66300000000000003</c:v>
                </c:pt>
                <c:pt idx="9">
                  <c:v>0.61399999999999999</c:v>
                </c:pt>
                <c:pt idx="10">
                  <c:v>0.62</c:v>
                </c:pt>
                <c:pt idx="11">
                  <c:v>0.66</c:v>
                </c:pt>
                <c:pt idx="12">
                  <c:v>0.67800000000000005</c:v>
                </c:pt>
                <c:pt idx="13">
                  <c:v>0.64500000000000002</c:v>
                </c:pt>
                <c:pt idx="14">
                  <c:v>0.67700000000000005</c:v>
                </c:pt>
                <c:pt idx="15">
                  <c:v>0.70200000000000007</c:v>
                </c:pt>
                <c:pt idx="16">
                  <c:v>0.71399999999999997</c:v>
                </c:pt>
                <c:pt idx="17">
                  <c:v>0.68500000000000005</c:v>
                </c:pt>
                <c:pt idx="18">
                  <c:v>0.63900000000000001</c:v>
                </c:pt>
                <c:pt idx="19">
                  <c:v>0.61399999999999999</c:v>
                </c:pt>
                <c:pt idx="20">
                  <c:v>0.60799999999999998</c:v>
                </c:pt>
                <c:pt idx="21">
                  <c:v>0.59499999999999997</c:v>
                </c:pt>
                <c:pt idx="22">
                  <c:v>0.53700000000000003</c:v>
                </c:pt>
                <c:pt idx="23">
                  <c:v>0.59599999999999997</c:v>
                </c:pt>
              </c:numCache>
            </c:numRef>
          </c:val>
          <c:extLst xmlns:c16r2="http://schemas.microsoft.com/office/drawing/2015/06/chart">
            <c:ext xmlns:c16="http://schemas.microsoft.com/office/drawing/2014/chart" uri="{C3380CC4-5D6E-409C-BE32-E72D297353CC}">
              <c16:uniqueId val="{00000001-BB39-4941-A267-F1F47DF45F44}"/>
            </c:ext>
          </c:extLst>
        </c:ser>
        <c:dLbls>
          <c:showLegendKey val="0"/>
          <c:showVal val="0"/>
          <c:showCatName val="0"/>
          <c:showSerName val="0"/>
          <c:showPercent val="0"/>
          <c:showBubbleSize val="0"/>
        </c:dLbls>
        <c:gapWidth val="75"/>
        <c:overlap val="-25"/>
        <c:axId val="-1180466176"/>
        <c:axId val="-1180468896"/>
      </c:barChart>
      <c:lineChart>
        <c:grouping val="standard"/>
        <c:varyColors val="0"/>
        <c:ser>
          <c:idx val="1"/>
          <c:order val="1"/>
          <c:tx>
            <c:strRef>
              <c:f>'Red Performance'!$C$5</c:f>
              <c:strCache>
                <c:ptCount val="1"/>
                <c:pt idx="0">
                  <c:v>Target 65%</c:v>
                </c:pt>
              </c:strCache>
            </c:strRef>
          </c:tx>
          <c:spPr>
            <a:ln w="28575" cap="rnd">
              <a:solidFill>
                <a:schemeClr val="accent5"/>
              </a:solidFill>
              <a:round/>
            </a:ln>
            <a:effectLst/>
          </c:spPr>
          <c:marker>
            <c:symbol val="none"/>
          </c:marker>
          <c:cat>
            <c:numRef>
              <c:f>'Red Performance'!$M$3:$AJ$3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'Red Performance'!$M$5:$AJ$5</c:f>
              <c:numCache>
                <c:formatCode>0.0%</c:formatCode>
                <c:ptCount val="24"/>
                <c:pt idx="0">
                  <c:v>0.65</c:v>
                </c:pt>
                <c:pt idx="1">
                  <c:v>0.65</c:v>
                </c:pt>
                <c:pt idx="2">
                  <c:v>0.65</c:v>
                </c:pt>
                <c:pt idx="3">
                  <c:v>0.65</c:v>
                </c:pt>
                <c:pt idx="4">
                  <c:v>0.65</c:v>
                </c:pt>
                <c:pt idx="5">
                  <c:v>0.65</c:v>
                </c:pt>
                <c:pt idx="6">
                  <c:v>0.65</c:v>
                </c:pt>
                <c:pt idx="7">
                  <c:v>0.65</c:v>
                </c:pt>
                <c:pt idx="8">
                  <c:v>0.65</c:v>
                </c:pt>
                <c:pt idx="9">
                  <c:v>0.65</c:v>
                </c:pt>
                <c:pt idx="10">
                  <c:v>0.65</c:v>
                </c:pt>
                <c:pt idx="11">
                  <c:v>0.65</c:v>
                </c:pt>
                <c:pt idx="12">
                  <c:v>0.65</c:v>
                </c:pt>
                <c:pt idx="13">
                  <c:v>0.65</c:v>
                </c:pt>
                <c:pt idx="14">
                  <c:v>0.65</c:v>
                </c:pt>
                <c:pt idx="15">
                  <c:v>0.65</c:v>
                </c:pt>
                <c:pt idx="16">
                  <c:v>0.65</c:v>
                </c:pt>
                <c:pt idx="17">
                  <c:v>0.65</c:v>
                </c:pt>
                <c:pt idx="18">
                  <c:v>0.65</c:v>
                </c:pt>
                <c:pt idx="19">
                  <c:v>0.65</c:v>
                </c:pt>
                <c:pt idx="20">
                  <c:v>0.65</c:v>
                </c:pt>
                <c:pt idx="21">
                  <c:v>0.65</c:v>
                </c:pt>
                <c:pt idx="22">
                  <c:v>0.65</c:v>
                </c:pt>
                <c:pt idx="23">
                  <c:v>0.65</c:v>
                </c:pt>
              </c:numCache>
            </c:numRef>
          </c:val>
          <c:smooth val="0"/>
          <c:extLst xmlns:c16r2="http://schemas.microsoft.com/office/drawing/2015/06/chart">
            <c:ext xmlns:c16="http://schemas.microsoft.com/office/drawing/2014/chart" uri="{C3380CC4-5D6E-409C-BE32-E72D297353CC}">
              <c16:uniqueId val="{00000002-BB39-4941-A267-F1F47DF45F44}"/>
            </c:ext>
          </c:extLst>
        </c:ser>
        <c:dLbls>
          <c:showLegendKey val="0"/>
          <c:showVal val="0"/>
          <c:showCatName val="0"/>
          <c:showSerName val="0"/>
          <c:showPercent val="0"/>
          <c:showBubbleSize val="0"/>
        </c:dLbls>
        <c:marker val="1"/>
        <c:smooth val="0"/>
        <c:axId val="-1180481408"/>
        <c:axId val="-1180475424"/>
      </c:lineChart>
      <c:dateAx>
        <c:axId val="-118046617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0468896"/>
        <c:crosses val="autoZero"/>
        <c:auto val="1"/>
        <c:lblOffset val="100"/>
        <c:baseTimeUnit val="months"/>
      </c:dateAx>
      <c:valAx>
        <c:axId val="-1180468896"/>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0466176"/>
        <c:crosses val="autoZero"/>
        <c:crossBetween val="between"/>
      </c:valAx>
      <c:valAx>
        <c:axId val="-1180475424"/>
        <c:scaling>
          <c:orientation val="minMax"/>
        </c:scaling>
        <c:delete val="1"/>
        <c:axPos val="r"/>
        <c:numFmt formatCode="0.0%" sourceLinked="1"/>
        <c:majorTickMark val="out"/>
        <c:minorTickMark val="none"/>
        <c:tickLblPos val="nextTo"/>
        <c:crossAx val="-1180481408"/>
        <c:crosses val="max"/>
        <c:crossBetween val="between"/>
      </c:valAx>
      <c:dateAx>
        <c:axId val="-1180481408"/>
        <c:scaling>
          <c:orientation val="minMax"/>
        </c:scaling>
        <c:delete val="1"/>
        <c:axPos val="b"/>
        <c:numFmt formatCode="mmm\-yy" sourceLinked="1"/>
        <c:majorTickMark val="out"/>
        <c:minorTickMark val="none"/>
        <c:tickLblPos val="nextTo"/>
        <c:crossAx val="-1180475424"/>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GB" sz="1200" b="0"/>
              <a:t>Amber Median, 65th &amp; 95th Percentile </a:t>
            </a: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1343192762302498"/>
          <c:y val="0.1134989941748919"/>
          <c:w val="0.86595546023226588"/>
          <c:h val="0.63776167979002629"/>
        </c:manualLayout>
      </c:layout>
      <c:lineChart>
        <c:grouping val="standard"/>
        <c:varyColors val="0"/>
        <c:ser>
          <c:idx val="0"/>
          <c:order val="0"/>
          <c:tx>
            <c:strRef>
              <c:f>'Step 3 Amber'!$C$6</c:f>
              <c:strCache>
                <c:ptCount val="1"/>
                <c:pt idx="0">
                  <c:v>AMBER Median</c:v>
                </c:pt>
              </c:strCache>
            </c:strRef>
          </c:tx>
          <c:spPr>
            <a:ln w="28575" cap="rnd">
              <a:solidFill>
                <a:srgbClr val="FFC000"/>
              </a:solidFill>
              <a:round/>
            </a:ln>
            <a:effectLst/>
          </c:spPr>
          <c:marker>
            <c:symbol val="none"/>
          </c:marker>
          <c:cat>
            <c:numRef>
              <c:f>'Step 3 Amber'!$AR$5:$BO$5</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Amber'!$AR$6:$BO$6</c:f>
              <c:numCache>
                <c:formatCode>[$-F400]h:mm:ss\ AM/PM</c:formatCode>
                <c:ptCount val="24"/>
                <c:pt idx="0">
                  <c:v>1.8159722222222219E-2</c:v>
                </c:pt>
                <c:pt idx="1">
                  <c:v>1.8159722222222219E-2</c:v>
                </c:pt>
                <c:pt idx="2">
                  <c:v>1.9363425925925926E-2</c:v>
                </c:pt>
                <c:pt idx="3" formatCode="h:mm:ss">
                  <c:v>1.8541666666666668E-2</c:v>
                </c:pt>
                <c:pt idx="4" formatCode="h:mm:ss">
                  <c:v>1.8668981481481481E-2</c:v>
                </c:pt>
                <c:pt idx="5" formatCode="h:mm:ss">
                  <c:v>2.0520833333333332E-2</c:v>
                </c:pt>
                <c:pt idx="6" formatCode="h:mm:ss">
                  <c:v>2.1435185185185186E-2</c:v>
                </c:pt>
                <c:pt idx="7" formatCode="h:mm:ss">
                  <c:v>2.1412037037037035E-2</c:v>
                </c:pt>
                <c:pt idx="8" formatCode="h:mm:ss">
                  <c:v>2.3032407407407404E-2</c:v>
                </c:pt>
                <c:pt idx="9" formatCode="h:mm:ss">
                  <c:v>2.5416666666666667E-2</c:v>
                </c:pt>
                <c:pt idx="10" formatCode="h:mm:ss">
                  <c:v>3.3368055555555554E-2</c:v>
                </c:pt>
                <c:pt idx="11" formatCode="h:mm:ss">
                  <c:v>2.1759259259259259E-2</c:v>
                </c:pt>
                <c:pt idx="12" formatCode="h:mm:ss">
                  <c:v>2.0682870370370372E-2</c:v>
                </c:pt>
                <c:pt idx="13" formatCode="h:mm:ss">
                  <c:v>2.6712962962962966E-2</c:v>
                </c:pt>
                <c:pt idx="14" formatCode="h:mm:ss">
                  <c:v>1.6550925925925924E-2</c:v>
                </c:pt>
                <c:pt idx="15" formatCode="h:mm:ss">
                  <c:v>1.4641203703703703E-2</c:v>
                </c:pt>
                <c:pt idx="16" formatCode="h:mm:ss">
                  <c:v>1.5925925925925927E-2</c:v>
                </c:pt>
                <c:pt idx="17" formatCode="h:mm:ss">
                  <c:v>1.8935185185185183E-2</c:v>
                </c:pt>
                <c:pt idx="18" formatCode="h:mm:ss">
                  <c:v>2.5428240740740741E-2</c:v>
                </c:pt>
                <c:pt idx="19" formatCode="h:mm:ss">
                  <c:v>3.005787037037037E-2</c:v>
                </c:pt>
                <c:pt idx="20" formatCode="h:mm:ss">
                  <c:v>2.8171296296296302E-2</c:v>
                </c:pt>
                <c:pt idx="21" formatCode="h:mm:ss">
                  <c:v>3.2384259259259258E-2</c:v>
                </c:pt>
                <c:pt idx="22" formatCode="h:mm:ss">
                  <c:v>4.386574074074074E-2</c:v>
                </c:pt>
                <c:pt idx="23" formatCode="h:mm:ss">
                  <c:v>2.7118055555555552E-2</c:v>
                </c:pt>
              </c:numCache>
            </c:numRef>
          </c:val>
          <c:smooth val="0"/>
          <c:extLst xmlns:c16r2="http://schemas.microsoft.com/office/drawing/2015/06/chart">
            <c:ext xmlns:c16="http://schemas.microsoft.com/office/drawing/2014/chart" uri="{C3380CC4-5D6E-409C-BE32-E72D297353CC}">
              <c16:uniqueId val="{00000000-4F8E-4357-A132-5696944149F8}"/>
            </c:ext>
          </c:extLst>
        </c:ser>
        <c:ser>
          <c:idx val="1"/>
          <c:order val="1"/>
          <c:tx>
            <c:strRef>
              <c:f>'Step 3 Amber'!$C$7</c:f>
              <c:strCache>
                <c:ptCount val="1"/>
                <c:pt idx="0">
                  <c:v>Amber 65th </c:v>
                </c:pt>
              </c:strCache>
            </c:strRef>
          </c:tx>
          <c:spPr>
            <a:ln w="28575" cap="rnd">
              <a:solidFill>
                <a:schemeClr val="accent2">
                  <a:lumMod val="75000"/>
                </a:schemeClr>
              </a:solidFill>
              <a:round/>
            </a:ln>
            <a:effectLst/>
          </c:spPr>
          <c:marker>
            <c:symbol val="none"/>
          </c:marker>
          <c:cat>
            <c:numRef>
              <c:f>'Step 3 Amber'!$AR$5:$BO$5</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Amber'!$AR$7:$BO$7</c:f>
              <c:numCache>
                <c:formatCode>[h]:mm:ss</c:formatCode>
                <c:ptCount val="24"/>
                <c:pt idx="0">
                  <c:v>2.7824074074074074E-2</c:v>
                </c:pt>
                <c:pt idx="1">
                  <c:v>2.7719907407407405E-2</c:v>
                </c:pt>
                <c:pt idx="2">
                  <c:v>2.9687500000000002E-2</c:v>
                </c:pt>
                <c:pt idx="3" formatCode="h:mm:ss">
                  <c:v>2.8148148148148148E-2</c:v>
                </c:pt>
                <c:pt idx="4" formatCode="h:mm:ss">
                  <c:v>2.8518518518518523E-2</c:v>
                </c:pt>
                <c:pt idx="5" formatCode="h:mm:ss">
                  <c:v>3.1493055555555559E-2</c:v>
                </c:pt>
                <c:pt idx="6" formatCode="h:mm:ss">
                  <c:v>3.3032407407407406E-2</c:v>
                </c:pt>
                <c:pt idx="7" formatCode="h:mm:ss">
                  <c:v>3.363425925925926E-2</c:v>
                </c:pt>
                <c:pt idx="8" formatCode="h:mm:ss">
                  <c:v>3.6527777777777777E-2</c:v>
                </c:pt>
                <c:pt idx="9" formatCode="h:mm:ss">
                  <c:v>4.1122685185185186E-2</c:v>
                </c:pt>
                <c:pt idx="10" formatCode="h:mm:ss">
                  <c:v>5.3668981481481477E-2</c:v>
                </c:pt>
                <c:pt idx="11" formatCode="h:mm:ss">
                  <c:v>3.4421296296296297E-2</c:v>
                </c:pt>
                <c:pt idx="12" formatCode="h:mm:ss">
                  <c:v>3.184027777777778E-2</c:v>
                </c:pt>
                <c:pt idx="13" formatCode="h:mm:ss">
                  <c:v>4.252314814814815E-2</c:v>
                </c:pt>
                <c:pt idx="14" formatCode="h:mm:ss">
                  <c:v>2.3958333333333331E-2</c:v>
                </c:pt>
                <c:pt idx="15" formatCode="h:mm:ss">
                  <c:v>2.0474537037037038E-2</c:v>
                </c:pt>
                <c:pt idx="16" formatCode="h:mm:ss">
                  <c:v>2.2546296296296297E-2</c:v>
                </c:pt>
                <c:pt idx="17" formatCode="h:mm:ss">
                  <c:v>2.7557870370370368E-2</c:v>
                </c:pt>
                <c:pt idx="18" formatCode="h:mm:ss">
                  <c:v>3.8217592592592588E-2</c:v>
                </c:pt>
                <c:pt idx="19" formatCode="h:mm:ss">
                  <c:v>4.6006944444444448E-2</c:v>
                </c:pt>
                <c:pt idx="20" formatCode="h:mm:ss">
                  <c:v>4.3518518518518519E-2</c:v>
                </c:pt>
                <c:pt idx="21" formatCode="h:mm:ss">
                  <c:v>5.1736111111111115E-2</c:v>
                </c:pt>
                <c:pt idx="22" formatCode="h:mm:ss">
                  <c:v>7.3344907407407414E-2</c:v>
                </c:pt>
                <c:pt idx="23" formatCode="h:mm:ss">
                  <c:v>4.1261574074074069E-2</c:v>
                </c:pt>
              </c:numCache>
            </c:numRef>
          </c:val>
          <c:smooth val="0"/>
          <c:extLst xmlns:c16r2="http://schemas.microsoft.com/office/drawing/2015/06/chart">
            <c:ext xmlns:c16="http://schemas.microsoft.com/office/drawing/2014/chart" uri="{C3380CC4-5D6E-409C-BE32-E72D297353CC}">
              <c16:uniqueId val="{00000001-4F8E-4357-A132-5696944149F8}"/>
            </c:ext>
          </c:extLst>
        </c:ser>
        <c:ser>
          <c:idx val="2"/>
          <c:order val="2"/>
          <c:tx>
            <c:strRef>
              <c:f>'Step 3 Amber'!$C$8</c:f>
              <c:strCache>
                <c:ptCount val="1"/>
                <c:pt idx="0">
                  <c:v>Amber Calls - 95th percentile response time </c:v>
                </c:pt>
              </c:strCache>
            </c:strRef>
          </c:tx>
          <c:spPr>
            <a:ln w="28575" cap="rnd">
              <a:solidFill>
                <a:schemeClr val="accent2"/>
              </a:solidFill>
              <a:round/>
            </a:ln>
            <a:effectLst/>
          </c:spPr>
          <c:marker>
            <c:symbol val="none"/>
          </c:marker>
          <c:cat>
            <c:numRef>
              <c:f>'Step 3 Amber'!$AR$5:$BO$5</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Amber'!$AR$8:$BO$8</c:f>
              <c:numCache>
                <c:formatCode>h:mm:ss</c:formatCode>
                <c:ptCount val="24"/>
                <c:pt idx="0">
                  <c:v>0.11565972222222222</c:v>
                </c:pt>
                <c:pt idx="1">
                  <c:v>0.1121875</c:v>
                </c:pt>
                <c:pt idx="2">
                  <c:v>0.12976851851851853</c:v>
                </c:pt>
                <c:pt idx="3">
                  <c:v>0.11225694444444445</c:v>
                </c:pt>
                <c:pt idx="4">
                  <c:v>0.11939814814814814</c:v>
                </c:pt>
                <c:pt idx="5">
                  <c:v>0.12861111111111112</c:v>
                </c:pt>
                <c:pt idx="6">
                  <c:v>0.1433912037037037</c:v>
                </c:pt>
                <c:pt idx="7">
                  <c:v>0.14473379629629629</c:v>
                </c:pt>
                <c:pt idx="8">
                  <c:v>0.1691087962962963</c:v>
                </c:pt>
                <c:pt idx="9">
                  <c:v>0.18609953703703705</c:v>
                </c:pt>
                <c:pt idx="10">
                  <c:v>0.2419212962962963</c:v>
                </c:pt>
                <c:pt idx="11">
                  <c:v>0.15208333333333332</c:v>
                </c:pt>
                <c:pt idx="12">
                  <c:v>0.13443287037037036</c:v>
                </c:pt>
                <c:pt idx="13">
                  <c:v>0.18738425925925925</c:v>
                </c:pt>
                <c:pt idx="14">
                  <c:v>8.8900462962962959E-2</c:v>
                </c:pt>
                <c:pt idx="15">
                  <c:v>6.9942129629629632E-2</c:v>
                </c:pt>
                <c:pt idx="16">
                  <c:v>7.9826388888888891E-2</c:v>
                </c:pt>
                <c:pt idx="17">
                  <c:v>9.976851851851852E-2</c:v>
                </c:pt>
                <c:pt idx="18">
                  <c:v>0.14635416666666667</c:v>
                </c:pt>
                <c:pt idx="19">
                  <c:v>0.17766203703703706</c:v>
                </c:pt>
                <c:pt idx="20">
                  <c:v>0.17180555555555554</c:v>
                </c:pt>
                <c:pt idx="21">
                  <c:v>0.1940625</c:v>
                </c:pt>
                <c:pt idx="22">
                  <c:v>0.28017361111111111</c:v>
                </c:pt>
                <c:pt idx="23">
                  <c:v>0.15541666666666668</c:v>
                </c:pt>
              </c:numCache>
            </c:numRef>
          </c:val>
          <c:smooth val="0"/>
          <c:extLst xmlns:c16r2="http://schemas.microsoft.com/office/drawing/2015/06/chart">
            <c:ext xmlns:c16="http://schemas.microsoft.com/office/drawing/2014/chart" uri="{C3380CC4-5D6E-409C-BE32-E72D297353CC}">
              <c16:uniqueId val="{00000002-4F8E-4357-A132-5696944149F8}"/>
            </c:ext>
          </c:extLst>
        </c:ser>
        <c:dLbls>
          <c:showLegendKey val="0"/>
          <c:showVal val="0"/>
          <c:showCatName val="0"/>
          <c:showSerName val="0"/>
          <c:showPercent val="0"/>
          <c:showBubbleSize val="0"/>
        </c:dLbls>
        <c:smooth val="0"/>
        <c:axId val="-1180474336"/>
        <c:axId val="-1180473792"/>
      </c:lineChart>
      <c:dateAx>
        <c:axId val="-118047433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80473792"/>
        <c:crosses val="autoZero"/>
        <c:auto val="1"/>
        <c:lblOffset val="100"/>
        <c:baseTimeUnit val="months"/>
      </c:dateAx>
      <c:valAx>
        <c:axId val="-1180473792"/>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80474336"/>
        <c:crosses val="autoZero"/>
        <c:crossBetween val="between"/>
        <c:majorUnit val="2.0833000000000001E-2"/>
      </c:valAx>
      <c:spPr>
        <a:noFill/>
        <a:ln>
          <a:noFill/>
        </a:ln>
        <a:effectLst/>
      </c:spPr>
    </c:plotArea>
    <c:legend>
      <c:legendPos val="b"/>
      <c:layout>
        <c:manualLayout>
          <c:xMode val="edge"/>
          <c:yMode val="edge"/>
          <c:x val="8.9407389614076377E-3"/>
          <c:y val="0.90499677540307444"/>
          <c:w val="0.97462302675183599"/>
          <c:h val="7.727604049493810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SCIF Cases / Passed to Health Board</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'SCIF Appendix B'!$B$33</c:f>
              <c:strCache>
                <c:ptCount val="1"/>
                <c:pt idx="0">
                  <c:v>Number of Cases taken to SCIF</c:v>
                </c:pt>
              </c:strCache>
            </c:strRef>
          </c:tx>
          <c:spPr>
            <a:solidFill>
              <a:schemeClr val="accent6"/>
            </a:solidFill>
            <a:ln>
              <a:noFill/>
            </a:ln>
            <a:effectLst/>
          </c:spPr>
          <c:invertIfNegative val="0"/>
          <c:cat>
            <c:numRef>
              <c:f>'SCIF Appendix B'!$N$32:$Y$32</c:f>
              <c:numCache>
                <c:formatCode>mmm\-yy</c:formatCode>
                <c:ptCount val="12"/>
                <c:pt idx="0">
                  <c:v>43862</c:v>
                </c:pt>
                <c:pt idx="1">
                  <c:v>43891</c:v>
                </c:pt>
                <c:pt idx="2">
                  <c:v>43922</c:v>
                </c:pt>
                <c:pt idx="3">
                  <c:v>43952</c:v>
                </c:pt>
                <c:pt idx="4">
                  <c:v>43983</c:v>
                </c:pt>
                <c:pt idx="5">
                  <c:v>44013</c:v>
                </c:pt>
                <c:pt idx="6">
                  <c:v>44044</c:v>
                </c:pt>
                <c:pt idx="7">
                  <c:v>44075</c:v>
                </c:pt>
                <c:pt idx="8">
                  <c:v>44105</c:v>
                </c:pt>
                <c:pt idx="9">
                  <c:v>44136</c:v>
                </c:pt>
                <c:pt idx="10">
                  <c:v>44166</c:v>
                </c:pt>
                <c:pt idx="11">
                  <c:v>44197</c:v>
                </c:pt>
              </c:numCache>
            </c:numRef>
          </c:cat>
          <c:val>
            <c:numRef>
              <c:f>'SCIF Appendix B'!$N$33:$Y$33</c:f>
              <c:numCache>
                <c:formatCode>General</c:formatCode>
                <c:ptCount val="12"/>
                <c:pt idx="0">
                  <c:v>14</c:v>
                </c:pt>
                <c:pt idx="1">
                  <c:v>14</c:v>
                </c:pt>
                <c:pt idx="2">
                  <c:v>28</c:v>
                </c:pt>
                <c:pt idx="3">
                  <c:v>12</c:v>
                </c:pt>
                <c:pt idx="4">
                  <c:v>12</c:v>
                </c:pt>
                <c:pt idx="5">
                  <c:v>12</c:v>
                </c:pt>
                <c:pt idx="6">
                  <c:v>27</c:v>
                </c:pt>
                <c:pt idx="7">
                  <c:v>23</c:v>
                </c:pt>
                <c:pt idx="8">
                  <c:v>17</c:v>
                </c:pt>
                <c:pt idx="9">
                  <c:v>21</c:v>
                </c:pt>
                <c:pt idx="10">
                  <c:v>44</c:v>
                </c:pt>
                <c:pt idx="11">
                  <c:v>43</c:v>
                </c:pt>
              </c:numCache>
            </c:numRef>
          </c:val>
          <c:extLst xmlns:c16r2="http://schemas.microsoft.com/office/drawing/2015/06/chart">
            <c:ext xmlns:c16="http://schemas.microsoft.com/office/drawing/2014/chart" uri="{C3380CC4-5D6E-409C-BE32-E72D297353CC}">
              <c16:uniqueId val="{00000000-C988-42D0-885E-D88037987D1D}"/>
            </c:ext>
          </c:extLst>
        </c:ser>
        <c:dLbls>
          <c:showLegendKey val="0"/>
          <c:showVal val="0"/>
          <c:showCatName val="0"/>
          <c:showSerName val="0"/>
          <c:showPercent val="0"/>
          <c:showBubbleSize val="0"/>
        </c:dLbls>
        <c:gapWidth val="150"/>
        <c:axId val="-1209926272"/>
        <c:axId val="-1209923008"/>
      </c:barChart>
      <c:lineChart>
        <c:grouping val="standard"/>
        <c:varyColors val="0"/>
        <c:ser>
          <c:idx val="1"/>
          <c:order val="1"/>
          <c:tx>
            <c:strRef>
              <c:f>'SCIF Appendix B'!$B$34</c:f>
              <c:strCache>
                <c:ptCount val="1"/>
                <c:pt idx="0">
                  <c:v>Passed to HB as Appendix B </c:v>
                </c:pt>
              </c:strCache>
            </c:strRef>
          </c:tx>
          <c:spPr>
            <a:ln w="28575" cap="rnd">
              <a:solidFill>
                <a:srgbClr val="00B0F0"/>
              </a:solidFill>
              <a:round/>
            </a:ln>
            <a:effectLst/>
          </c:spPr>
          <c:marker>
            <c:symbol val="none"/>
          </c:marker>
          <c:cat>
            <c:numRef>
              <c:f>'SCIF Appendix B'!$N$32:$Y$32</c:f>
              <c:numCache>
                <c:formatCode>mmm\-yy</c:formatCode>
                <c:ptCount val="12"/>
                <c:pt idx="0">
                  <c:v>43862</c:v>
                </c:pt>
                <c:pt idx="1">
                  <c:v>43891</c:v>
                </c:pt>
                <c:pt idx="2">
                  <c:v>43922</c:v>
                </c:pt>
                <c:pt idx="3">
                  <c:v>43952</c:v>
                </c:pt>
                <c:pt idx="4">
                  <c:v>43983</c:v>
                </c:pt>
                <c:pt idx="5">
                  <c:v>44013</c:v>
                </c:pt>
                <c:pt idx="6">
                  <c:v>44044</c:v>
                </c:pt>
                <c:pt idx="7">
                  <c:v>44075</c:v>
                </c:pt>
                <c:pt idx="8">
                  <c:v>44105</c:v>
                </c:pt>
                <c:pt idx="9">
                  <c:v>44136</c:v>
                </c:pt>
                <c:pt idx="10">
                  <c:v>44166</c:v>
                </c:pt>
                <c:pt idx="11">
                  <c:v>44197</c:v>
                </c:pt>
              </c:numCache>
            </c:numRef>
          </c:cat>
          <c:val>
            <c:numRef>
              <c:f>'SCIF Appendix B'!$N$34:$Y$34</c:f>
              <c:numCache>
                <c:formatCode>General</c:formatCode>
                <c:ptCount val="12"/>
                <c:pt idx="0">
                  <c:v>3</c:v>
                </c:pt>
                <c:pt idx="1">
                  <c:v>2</c:v>
                </c:pt>
                <c:pt idx="2">
                  <c:v>3</c:v>
                </c:pt>
                <c:pt idx="3">
                  <c:v>0</c:v>
                </c:pt>
                <c:pt idx="4">
                  <c:v>0</c:v>
                </c:pt>
                <c:pt idx="5">
                  <c:v>0</c:v>
                </c:pt>
                <c:pt idx="6">
                  <c:v>4</c:v>
                </c:pt>
                <c:pt idx="7">
                  <c:v>5</c:v>
                </c:pt>
                <c:pt idx="8">
                  <c:v>6</c:v>
                </c:pt>
                <c:pt idx="9">
                  <c:v>5</c:v>
                </c:pt>
                <c:pt idx="10">
                  <c:v>19</c:v>
                </c:pt>
                <c:pt idx="11">
                  <c:v>18</c:v>
                </c:pt>
              </c:numCache>
            </c:numRef>
          </c:val>
          <c:smooth val="0"/>
          <c:extLst xmlns:c16r2="http://schemas.microsoft.com/office/drawing/2015/06/chart">
            <c:ext xmlns:c16="http://schemas.microsoft.com/office/drawing/2014/chart" uri="{C3380CC4-5D6E-409C-BE32-E72D297353CC}">
              <c16:uniqueId val="{00000001-C988-42D0-885E-D88037987D1D}"/>
            </c:ext>
          </c:extLst>
        </c:ser>
        <c:ser>
          <c:idx val="2"/>
          <c:order val="2"/>
          <c:tx>
            <c:strRef>
              <c:f>'SCIF Appendix B'!$B$35</c:f>
              <c:strCache>
                <c:ptCount val="1"/>
                <c:pt idx="0">
                  <c:v>Passed to HB as PSI</c:v>
                </c:pt>
              </c:strCache>
            </c:strRef>
          </c:tx>
          <c:spPr>
            <a:ln w="28575" cap="rnd">
              <a:solidFill>
                <a:schemeClr val="accent3"/>
              </a:solidFill>
              <a:round/>
            </a:ln>
            <a:effectLst/>
          </c:spPr>
          <c:marker>
            <c:symbol val="none"/>
          </c:marker>
          <c:cat>
            <c:numRef>
              <c:f>'SCIF Appendix B'!$N$32:$Y$32</c:f>
              <c:numCache>
                <c:formatCode>mmm\-yy</c:formatCode>
                <c:ptCount val="12"/>
                <c:pt idx="0">
                  <c:v>43862</c:v>
                </c:pt>
                <c:pt idx="1">
                  <c:v>43891</c:v>
                </c:pt>
                <c:pt idx="2">
                  <c:v>43922</c:v>
                </c:pt>
                <c:pt idx="3">
                  <c:v>43952</c:v>
                </c:pt>
                <c:pt idx="4">
                  <c:v>43983</c:v>
                </c:pt>
                <c:pt idx="5">
                  <c:v>44013</c:v>
                </c:pt>
                <c:pt idx="6">
                  <c:v>44044</c:v>
                </c:pt>
                <c:pt idx="7">
                  <c:v>44075</c:v>
                </c:pt>
                <c:pt idx="8">
                  <c:v>44105</c:v>
                </c:pt>
                <c:pt idx="9">
                  <c:v>44136</c:v>
                </c:pt>
                <c:pt idx="10">
                  <c:v>44166</c:v>
                </c:pt>
                <c:pt idx="11">
                  <c:v>44197</c:v>
                </c:pt>
              </c:numCache>
            </c:numRef>
          </c:cat>
          <c:val>
            <c:numRef>
              <c:f>'SCIF Appendix B'!$N$35:$Y$35</c:f>
            </c:numRef>
          </c:val>
          <c:smooth val="0"/>
          <c:extLst xmlns:c16r2="http://schemas.microsoft.com/office/drawing/2015/06/chart">
            <c:ext xmlns:c16="http://schemas.microsoft.com/office/drawing/2014/chart" uri="{C3380CC4-5D6E-409C-BE32-E72D297353CC}">
              <c16:uniqueId val="{00000002-C988-42D0-885E-D88037987D1D}"/>
            </c:ext>
          </c:extLst>
        </c:ser>
        <c:dLbls>
          <c:showLegendKey val="0"/>
          <c:showVal val="0"/>
          <c:showCatName val="0"/>
          <c:showSerName val="0"/>
          <c:showPercent val="0"/>
          <c:showBubbleSize val="0"/>
        </c:dLbls>
        <c:marker val="1"/>
        <c:smooth val="0"/>
        <c:axId val="-1209926272"/>
        <c:axId val="-1209923008"/>
      </c:lineChart>
      <c:dateAx>
        <c:axId val="-120992627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9923008"/>
        <c:crosses val="autoZero"/>
        <c:auto val="1"/>
        <c:lblOffset val="100"/>
        <c:baseTimeUnit val="months"/>
      </c:dateAx>
      <c:valAx>
        <c:axId val="-1209923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99262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US" sz="1200"/>
              <a:t>Total Verified RED Demand Calls </a:t>
            </a:r>
            <a:endParaRPr lang="en-GB" sz="1200"/>
          </a:p>
        </c:rich>
      </c:tx>
      <c:layout>
        <c:manualLayout>
          <c:xMode val="edge"/>
          <c:yMode val="edge"/>
          <c:x val="0.31064796648977983"/>
          <c:y val="2.5565035572212038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2301026434132097"/>
          <c:y val="8.8276660755012643E-2"/>
          <c:w val="0.84688605790292648"/>
          <c:h val="0.71623453731398479"/>
        </c:manualLayout>
      </c:layout>
      <c:barChart>
        <c:barDir val="col"/>
        <c:grouping val="clustered"/>
        <c:varyColors val="0"/>
        <c:ser>
          <c:idx val="0"/>
          <c:order val="0"/>
          <c:tx>
            <c:strRef>
              <c:f>'Activity '!$C$50</c:f>
              <c:strCache>
                <c:ptCount val="1"/>
                <c:pt idx="0">
                  <c:v>RED calls</c:v>
                </c:pt>
              </c:strCache>
            </c:strRef>
          </c:tx>
          <c:spPr>
            <a:solidFill>
              <a:srgbClr val="FF0000"/>
            </a:solidFill>
            <a:ln>
              <a:solidFill>
                <a:srgbClr val="FF0000"/>
              </a:solidFill>
            </a:ln>
            <a:effectLst/>
          </c:spPr>
          <c:invertIfNegative val="0"/>
          <c:dLbls>
            <c:spPr>
              <a:noFill/>
              <a:ln>
                <a:noFill/>
              </a:ln>
              <a:effectLst/>
            </c:spPr>
            <c:txPr>
              <a:bodyPr rot="-5400000" spcFirstLastPara="1" vertOverflow="ellipsis" wrap="square" anchor="ctr" anchorCtr="1"/>
              <a:lstStyle/>
              <a:p>
                <a:pPr>
                  <a:defRPr sz="10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'Activity '!$AA$48:$AX$48</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'Activity '!$AA$50:$AX$50</c:f>
              <c:numCache>
                <c:formatCode>General</c:formatCode>
                <c:ptCount val="24"/>
                <c:pt idx="0">
                  <c:v>1847</c:v>
                </c:pt>
                <c:pt idx="1">
                  <c:v>2083</c:v>
                </c:pt>
                <c:pt idx="2">
                  <c:v>1988</c:v>
                </c:pt>
                <c:pt idx="3">
                  <c:v>2188</c:v>
                </c:pt>
                <c:pt idx="4">
                  <c:v>2167</c:v>
                </c:pt>
                <c:pt idx="5">
                  <c:v>2318</c:v>
                </c:pt>
                <c:pt idx="6">
                  <c:v>2297</c:v>
                </c:pt>
                <c:pt idx="7">
                  <c:v>2331</c:v>
                </c:pt>
                <c:pt idx="8">
                  <c:v>2548</c:v>
                </c:pt>
                <c:pt idx="9">
                  <c:v>2920</c:v>
                </c:pt>
                <c:pt idx="10">
                  <c:v>3178</c:v>
                </c:pt>
                <c:pt idx="11">
                  <c:v>2543</c:v>
                </c:pt>
                <c:pt idx="12">
                  <c:v>2193</c:v>
                </c:pt>
                <c:pt idx="13">
                  <c:v>2626</c:v>
                </c:pt>
                <c:pt idx="14">
                  <c:v>1897</c:v>
                </c:pt>
                <c:pt idx="15">
                  <c:v>1839</c:v>
                </c:pt>
                <c:pt idx="16">
                  <c:v>1805</c:v>
                </c:pt>
                <c:pt idx="17">
                  <c:v>2038</c:v>
                </c:pt>
                <c:pt idx="18">
                  <c:v>2572</c:v>
                </c:pt>
                <c:pt idx="19">
                  <c:v>2440</c:v>
                </c:pt>
                <c:pt idx="20">
                  <c:v>2445</c:v>
                </c:pt>
                <c:pt idx="21">
                  <c:v>2562</c:v>
                </c:pt>
                <c:pt idx="22">
                  <c:v>2850</c:v>
                </c:pt>
                <c:pt idx="23">
                  <c:v>2460</c:v>
                </c:pt>
              </c:numCache>
            </c:numRef>
          </c:val>
          <c:extLst xmlns:c16r2="http://schemas.microsoft.com/office/drawing/2015/06/chart">
            <c:ext xmlns:c16="http://schemas.microsoft.com/office/drawing/2014/chart" uri="{C3380CC4-5D6E-409C-BE32-E72D297353CC}">
              <c16:uniqueId val="{00000000-4789-4326-892B-091A6FFC86D3}"/>
            </c:ext>
          </c:extLst>
        </c:ser>
        <c:dLbls>
          <c:showLegendKey val="0"/>
          <c:showVal val="0"/>
          <c:showCatName val="0"/>
          <c:showSerName val="0"/>
          <c:showPercent val="0"/>
          <c:showBubbleSize val="0"/>
        </c:dLbls>
        <c:gapWidth val="50"/>
        <c:overlap val="-27"/>
        <c:axId val="-1146517856"/>
        <c:axId val="-1146518944"/>
      </c:barChart>
      <c:dateAx>
        <c:axId val="-11465178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46518944"/>
        <c:crosses val="autoZero"/>
        <c:auto val="1"/>
        <c:lblOffset val="100"/>
        <c:baseTimeUnit val="months"/>
        <c:majorUnit val="1"/>
        <c:majorTimeUnit val="months"/>
      </c:dateAx>
      <c:valAx>
        <c:axId val="-1146518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46517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 Verified Demand split by RED, AMBER 1, AMBER 2, GREEN 3 &amp; GREEN 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7350615125781882E-2"/>
          <c:y val="0.11523809523809524"/>
          <c:w val="0.91881664169231991"/>
          <c:h val="0.67253481245878743"/>
        </c:manualLayout>
      </c:layout>
      <c:barChart>
        <c:barDir val="col"/>
        <c:grouping val="stacked"/>
        <c:varyColors val="0"/>
        <c:ser>
          <c:idx val="0"/>
          <c:order val="0"/>
          <c:tx>
            <c:strRef>
              <c:f>Demand!$C$4</c:f>
              <c:strCache>
                <c:ptCount val="1"/>
                <c:pt idx="0">
                  <c:v>Red</c:v>
                </c:pt>
              </c:strCache>
            </c:strRef>
          </c:tx>
          <c:spPr>
            <a:solidFill>
              <a:srgbClr val="C00000"/>
            </a:solidFill>
            <a:ln>
              <a:noFill/>
            </a:ln>
            <a:effectLst/>
          </c:spPr>
          <c:invertIfNegative val="0"/>
          <c:cat>
            <c:numRef>
              <c:f>Demand!$M$3:$AJ$3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Demand!$M$4:$AJ$4</c:f>
              <c:numCache>
                <c:formatCode>General</c:formatCode>
                <c:ptCount val="24"/>
                <c:pt idx="0">
                  <c:v>1847</c:v>
                </c:pt>
                <c:pt idx="1">
                  <c:v>2083</c:v>
                </c:pt>
                <c:pt idx="2">
                  <c:v>1988</c:v>
                </c:pt>
                <c:pt idx="3">
                  <c:v>2188</c:v>
                </c:pt>
                <c:pt idx="4">
                  <c:v>2167</c:v>
                </c:pt>
                <c:pt idx="5">
                  <c:v>2318</c:v>
                </c:pt>
                <c:pt idx="6">
                  <c:v>2297</c:v>
                </c:pt>
                <c:pt idx="7">
                  <c:v>2331</c:v>
                </c:pt>
                <c:pt idx="8">
                  <c:v>2548</c:v>
                </c:pt>
                <c:pt idx="9">
                  <c:v>2920</c:v>
                </c:pt>
                <c:pt idx="10">
                  <c:v>3178</c:v>
                </c:pt>
                <c:pt idx="11">
                  <c:v>2543</c:v>
                </c:pt>
                <c:pt idx="12">
                  <c:v>2193</c:v>
                </c:pt>
                <c:pt idx="13">
                  <c:v>2626</c:v>
                </c:pt>
                <c:pt idx="14">
                  <c:v>1897</c:v>
                </c:pt>
                <c:pt idx="15">
                  <c:v>1839</c:v>
                </c:pt>
                <c:pt idx="16">
                  <c:v>1805</c:v>
                </c:pt>
                <c:pt idx="17">
                  <c:v>2067</c:v>
                </c:pt>
                <c:pt idx="18">
                  <c:v>2465</c:v>
                </c:pt>
                <c:pt idx="19">
                  <c:v>2440</c:v>
                </c:pt>
                <c:pt idx="20">
                  <c:v>2445</c:v>
                </c:pt>
                <c:pt idx="21">
                  <c:v>2562</c:v>
                </c:pt>
                <c:pt idx="22">
                  <c:v>2850</c:v>
                </c:pt>
                <c:pt idx="23">
                  <c:v>2460</c:v>
                </c:pt>
              </c:numCache>
            </c:numRef>
          </c:val>
          <c:extLst xmlns:c16r2="http://schemas.microsoft.com/office/drawing/2015/06/chart">
            <c:ext xmlns:c16="http://schemas.microsoft.com/office/drawing/2014/chart" uri="{C3380CC4-5D6E-409C-BE32-E72D297353CC}">
              <c16:uniqueId val="{00000000-AB91-432C-9639-B782EC5B2C0F}"/>
            </c:ext>
          </c:extLst>
        </c:ser>
        <c:ser>
          <c:idx val="1"/>
          <c:order val="1"/>
          <c:tx>
            <c:strRef>
              <c:f>Demand!$C$5</c:f>
              <c:strCache>
                <c:ptCount val="1"/>
                <c:pt idx="0">
                  <c:v>Amber 1</c:v>
                </c:pt>
              </c:strCache>
            </c:strRef>
          </c:tx>
          <c:spPr>
            <a:solidFill>
              <a:schemeClr val="accent2"/>
            </a:solidFill>
            <a:ln>
              <a:noFill/>
            </a:ln>
            <a:effectLst/>
          </c:spPr>
          <c:invertIfNegative val="0"/>
          <c:cat>
            <c:numRef>
              <c:f>Demand!$M$3:$AJ$3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Demand!$M$5:$AJ$5</c:f>
              <c:numCache>
                <c:formatCode>General</c:formatCode>
                <c:ptCount val="24"/>
                <c:pt idx="0">
                  <c:v>16887</c:v>
                </c:pt>
                <c:pt idx="1">
                  <c:v>18353</c:v>
                </c:pt>
                <c:pt idx="2">
                  <c:v>18746</c:v>
                </c:pt>
                <c:pt idx="3">
                  <c:v>18133</c:v>
                </c:pt>
                <c:pt idx="4">
                  <c:v>17615</c:v>
                </c:pt>
                <c:pt idx="5">
                  <c:v>18362</c:v>
                </c:pt>
                <c:pt idx="6">
                  <c:v>18605</c:v>
                </c:pt>
                <c:pt idx="7">
                  <c:v>17826</c:v>
                </c:pt>
                <c:pt idx="8">
                  <c:v>18828</c:v>
                </c:pt>
                <c:pt idx="9">
                  <c:v>18431</c:v>
                </c:pt>
                <c:pt idx="10">
                  <c:v>21347</c:v>
                </c:pt>
                <c:pt idx="11">
                  <c:v>18338</c:v>
                </c:pt>
                <c:pt idx="12">
                  <c:v>16255</c:v>
                </c:pt>
                <c:pt idx="13">
                  <c:v>18262</c:v>
                </c:pt>
                <c:pt idx="14">
                  <c:v>14986</c:v>
                </c:pt>
                <c:pt idx="15">
                  <c:v>15626</c:v>
                </c:pt>
                <c:pt idx="16">
                  <c:v>15870</c:v>
                </c:pt>
                <c:pt idx="17">
                  <c:v>17397</c:v>
                </c:pt>
                <c:pt idx="18">
                  <c:v>18213</c:v>
                </c:pt>
                <c:pt idx="19">
                  <c:v>18016</c:v>
                </c:pt>
                <c:pt idx="20">
                  <c:v>18153</c:v>
                </c:pt>
                <c:pt idx="21">
                  <c:v>18347</c:v>
                </c:pt>
                <c:pt idx="22">
                  <c:v>19905</c:v>
                </c:pt>
                <c:pt idx="23">
                  <c:v>17659</c:v>
                </c:pt>
              </c:numCache>
            </c:numRef>
          </c:val>
          <c:extLst xmlns:c16r2="http://schemas.microsoft.com/office/drawing/2015/06/chart">
            <c:ext xmlns:c16="http://schemas.microsoft.com/office/drawing/2014/chart" uri="{C3380CC4-5D6E-409C-BE32-E72D297353CC}">
              <c16:uniqueId val="{00000001-AB91-432C-9639-B782EC5B2C0F}"/>
            </c:ext>
          </c:extLst>
        </c:ser>
        <c:ser>
          <c:idx val="2"/>
          <c:order val="2"/>
          <c:tx>
            <c:strRef>
              <c:f>Demand!$C$6</c:f>
              <c:strCache>
                <c:ptCount val="1"/>
                <c:pt idx="0">
                  <c:v>Amber 2 </c:v>
                </c:pt>
              </c:strCache>
            </c:strRef>
          </c:tx>
          <c:spPr>
            <a:solidFill>
              <a:srgbClr val="FFC000"/>
            </a:solidFill>
            <a:ln>
              <a:noFill/>
            </a:ln>
            <a:effectLst/>
          </c:spPr>
          <c:invertIfNegative val="0"/>
          <c:cat>
            <c:numRef>
              <c:f>Demand!$M$3:$AJ$3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Demand!$M$6:$AJ$6</c:f>
              <c:numCache>
                <c:formatCode>General</c:formatCode>
                <c:ptCount val="24"/>
                <c:pt idx="0">
                  <c:v>8279</c:v>
                </c:pt>
                <c:pt idx="1">
                  <c:v>9040</c:v>
                </c:pt>
                <c:pt idx="2">
                  <c:v>9363</c:v>
                </c:pt>
                <c:pt idx="3">
                  <c:v>9707</c:v>
                </c:pt>
                <c:pt idx="4">
                  <c:v>9289</c:v>
                </c:pt>
                <c:pt idx="5">
                  <c:v>10075</c:v>
                </c:pt>
                <c:pt idx="6">
                  <c:v>9632</c:v>
                </c:pt>
                <c:pt idx="7">
                  <c:v>9112</c:v>
                </c:pt>
                <c:pt idx="8">
                  <c:v>9437</c:v>
                </c:pt>
                <c:pt idx="9">
                  <c:v>9043</c:v>
                </c:pt>
                <c:pt idx="10">
                  <c:v>9617</c:v>
                </c:pt>
                <c:pt idx="11">
                  <c:v>8934</c:v>
                </c:pt>
                <c:pt idx="12">
                  <c:v>8479</c:v>
                </c:pt>
                <c:pt idx="13">
                  <c:v>9074</c:v>
                </c:pt>
                <c:pt idx="14">
                  <c:v>8767</c:v>
                </c:pt>
                <c:pt idx="15">
                  <c:v>8742</c:v>
                </c:pt>
                <c:pt idx="16">
                  <c:v>8420</c:v>
                </c:pt>
                <c:pt idx="17">
                  <c:v>9207</c:v>
                </c:pt>
                <c:pt idx="18">
                  <c:v>9175</c:v>
                </c:pt>
                <c:pt idx="19">
                  <c:v>9012</c:v>
                </c:pt>
                <c:pt idx="20">
                  <c:v>8837</c:v>
                </c:pt>
                <c:pt idx="21">
                  <c:v>8099</c:v>
                </c:pt>
                <c:pt idx="22">
                  <c:v>7335</c:v>
                </c:pt>
                <c:pt idx="23">
                  <c:v>7196</c:v>
                </c:pt>
              </c:numCache>
            </c:numRef>
          </c:val>
          <c:extLst xmlns:c16r2="http://schemas.microsoft.com/office/drawing/2015/06/chart">
            <c:ext xmlns:c16="http://schemas.microsoft.com/office/drawing/2014/chart" uri="{C3380CC4-5D6E-409C-BE32-E72D297353CC}">
              <c16:uniqueId val="{00000002-AB91-432C-9639-B782EC5B2C0F}"/>
            </c:ext>
          </c:extLst>
        </c:ser>
        <c:ser>
          <c:idx val="3"/>
          <c:order val="3"/>
          <c:tx>
            <c:strRef>
              <c:f>Demand!$C$7</c:f>
              <c:strCache>
                <c:ptCount val="1"/>
                <c:pt idx="0">
                  <c:v>Green 3</c:v>
                </c:pt>
              </c:strCache>
            </c:strRef>
          </c:tx>
          <c:spPr>
            <a:solidFill>
              <a:schemeClr val="accent6"/>
            </a:solidFill>
            <a:ln>
              <a:noFill/>
            </a:ln>
            <a:effectLst/>
          </c:spPr>
          <c:invertIfNegative val="0"/>
          <c:cat>
            <c:numRef>
              <c:f>Demand!$M$3:$AJ$3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Demand!$M$7:$AJ$7</c:f>
              <c:numCache>
                <c:formatCode>General</c:formatCode>
                <c:ptCount val="24"/>
                <c:pt idx="0">
                  <c:v>7218</c:v>
                </c:pt>
                <c:pt idx="1">
                  <c:v>7753</c:v>
                </c:pt>
                <c:pt idx="2">
                  <c:v>7912</c:v>
                </c:pt>
                <c:pt idx="3">
                  <c:v>7896</c:v>
                </c:pt>
                <c:pt idx="4">
                  <c:v>7537</c:v>
                </c:pt>
                <c:pt idx="5">
                  <c:v>7995</c:v>
                </c:pt>
                <c:pt idx="6">
                  <c:v>7679</c:v>
                </c:pt>
                <c:pt idx="7">
                  <c:v>7545</c:v>
                </c:pt>
                <c:pt idx="8">
                  <c:v>7796</c:v>
                </c:pt>
                <c:pt idx="9">
                  <c:v>7994</c:v>
                </c:pt>
                <c:pt idx="10">
                  <c:v>8401</c:v>
                </c:pt>
                <c:pt idx="11">
                  <c:v>7837</c:v>
                </c:pt>
                <c:pt idx="12">
                  <c:v>7402</c:v>
                </c:pt>
                <c:pt idx="13">
                  <c:v>5816</c:v>
                </c:pt>
                <c:pt idx="14">
                  <c:v>5608</c:v>
                </c:pt>
                <c:pt idx="15">
                  <c:v>6428</c:v>
                </c:pt>
                <c:pt idx="16">
                  <c:v>6291</c:v>
                </c:pt>
                <c:pt idx="17">
                  <c:v>6646</c:v>
                </c:pt>
                <c:pt idx="18">
                  <c:v>6842</c:v>
                </c:pt>
                <c:pt idx="19">
                  <c:v>6369</c:v>
                </c:pt>
                <c:pt idx="20">
                  <c:v>6224</c:v>
                </c:pt>
                <c:pt idx="21">
                  <c:v>6068</c:v>
                </c:pt>
                <c:pt idx="22">
                  <c:v>7139</c:v>
                </c:pt>
                <c:pt idx="23">
                  <c:v>7072</c:v>
                </c:pt>
              </c:numCache>
            </c:numRef>
          </c:val>
          <c:extLst xmlns:c16r2="http://schemas.microsoft.com/office/drawing/2015/06/chart">
            <c:ext xmlns:c16="http://schemas.microsoft.com/office/drawing/2014/chart" uri="{C3380CC4-5D6E-409C-BE32-E72D297353CC}">
              <c16:uniqueId val="{00000003-AB91-432C-9639-B782EC5B2C0F}"/>
            </c:ext>
          </c:extLst>
        </c:ser>
        <c:ser>
          <c:idx val="4"/>
          <c:order val="4"/>
          <c:tx>
            <c:strRef>
              <c:f>Demand!$C$8</c:f>
              <c:strCache>
                <c:ptCount val="1"/>
                <c:pt idx="0">
                  <c:v>Green 2</c:v>
                </c:pt>
              </c:strCache>
            </c:strRef>
          </c:tx>
          <c:spPr>
            <a:solidFill>
              <a:schemeClr val="accent6">
                <a:lumMod val="75000"/>
              </a:schemeClr>
            </a:solidFill>
            <a:ln>
              <a:noFill/>
            </a:ln>
            <a:effectLst/>
          </c:spPr>
          <c:invertIfNegative val="0"/>
          <c:cat>
            <c:numRef>
              <c:f>Demand!$M$3:$AJ$3</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Demand!$M$8:$AJ$8</c:f>
              <c:numCache>
                <c:formatCode>General</c:formatCode>
                <c:ptCount val="24"/>
                <c:pt idx="0">
                  <c:v>1888</c:v>
                </c:pt>
                <c:pt idx="1">
                  <c:v>2054</c:v>
                </c:pt>
                <c:pt idx="2">
                  <c:v>2033</c:v>
                </c:pt>
                <c:pt idx="3">
                  <c:v>2030</c:v>
                </c:pt>
                <c:pt idx="4">
                  <c:v>2037</c:v>
                </c:pt>
                <c:pt idx="5">
                  <c:v>2111</c:v>
                </c:pt>
                <c:pt idx="6">
                  <c:v>2017</c:v>
                </c:pt>
                <c:pt idx="7">
                  <c:v>1962</c:v>
                </c:pt>
                <c:pt idx="8">
                  <c:v>2117</c:v>
                </c:pt>
                <c:pt idx="9">
                  <c:v>2093</c:v>
                </c:pt>
                <c:pt idx="10">
                  <c:v>2269</c:v>
                </c:pt>
                <c:pt idx="11">
                  <c:v>1891</c:v>
                </c:pt>
                <c:pt idx="12">
                  <c:v>1786</c:v>
                </c:pt>
                <c:pt idx="13">
                  <c:v>1948</c:v>
                </c:pt>
                <c:pt idx="14">
                  <c:v>1397</c:v>
                </c:pt>
                <c:pt idx="15">
                  <c:v>1935</c:v>
                </c:pt>
                <c:pt idx="16">
                  <c:v>2066</c:v>
                </c:pt>
                <c:pt idx="17">
                  <c:v>2224</c:v>
                </c:pt>
                <c:pt idx="18">
                  <c:v>2403</c:v>
                </c:pt>
                <c:pt idx="19">
                  <c:v>2232</c:v>
                </c:pt>
                <c:pt idx="20">
                  <c:v>2042</c:v>
                </c:pt>
                <c:pt idx="21">
                  <c:v>2035</c:v>
                </c:pt>
                <c:pt idx="22">
                  <c:v>2295</c:v>
                </c:pt>
                <c:pt idx="23">
                  <c:v>1930</c:v>
                </c:pt>
              </c:numCache>
            </c:numRef>
          </c:val>
          <c:extLst xmlns:c16r2="http://schemas.microsoft.com/office/drawing/2015/06/chart">
            <c:ext xmlns:c16="http://schemas.microsoft.com/office/drawing/2014/chart" uri="{C3380CC4-5D6E-409C-BE32-E72D297353CC}">
              <c16:uniqueId val="{00000004-AB91-432C-9639-B782EC5B2C0F}"/>
            </c:ext>
          </c:extLst>
        </c:ser>
        <c:dLbls>
          <c:showLegendKey val="0"/>
          <c:showVal val="0"/>
          <c:showCatName val="0"/>
          <c:showSerName val="0"/>
          <c:showPercent val="0"/>
          <c:showBubbleSize val="0"/>
        </c:dLbls>
        <c:gapWidth val="75"/>
        <c:overlap val="100"/>
        <c:axId val="-1146517312"/>
        <c:axId val="-1146522752"/>
      </c:barChart>
      <c:dateAx>
        <c:axId val="-114651731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522752"/>
        <c:crosses val="autoZero"/>
        <c:auto val="1"/>
        <c:lblOffset val="100"/>
        <c:baseTimeUnit val="months"/>
      </c:dateAx>
      <c:valAx>
        <c:axId val="-1146522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517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Total EMS Actual Hours Produced </a:t>
            </a:r>
            <a:endParaRPr lang="en-GB" sz="1200">
              <a:effectLst/>
            </a:endParaRP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'Step 3 Total Actual Hours'!$B$7</c:f>
              <c:strCache>
                <c:ptCount val="1"/>
                <c:pt idx="0">
                  <c:v>EA Actual Hours</c:v>
                </c:pt>
              </c:strCache>
            </c:strRef>
          </c:tx>
          <c:spPr>
            <a:solidFill>
              <a:schemeClr val="accent1"/>
            </a:solidFill>
            <a:ln>
              <a:noFill/>
            </a:ln>
            <a:effectLst/>
          </c:spPr>
          <c:invertIfNegative val="0"/>
          <c:cat>
            <c:numRef>
              <c:f>'Step 3 Total Actual Hours'!$Z$6:$AW$6</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Total Actual Hours'!$Z$7:$AW$7</c:f>
              <c:numCache>
                <c:formatCode>#,##0</c:formatCode>
                <c:ptCount val="24"/>
                <c:pt idx="0">
                  <c:v>63741</c:v>
                </c:pt>
                <c:pt idx="1">
                  <c:v>70411</c:v>
                </c:pt>
                <c:pt idx="2">
                  <c:v>70528</c:v>
                </c:pt>
                <c:pt idx="3">
                  <c:v>70875</c:v>
                </c:pt>
                <c:pt idx="4">
                  <c:v>67268</c:v>
                </c:pt>
                <c:pt idx="5">
                  <c:v>68512</c:v>
                </c:pt>
                <c:pt idx="6">
                  <c:v>66154</c:v>
                </c:pt>
                <c:pt idx="7">
                  <c:v>65358</c:v>
                </c:pt>
                <c:pt idx="8">
                  <c:v>69306</c:v>
                </c:pt>
                <c:pt idx="9">
                  <c:v>68422</c:v>
                </c:pt>
                <c:pt idx="10">
                  <c:v>69914</c:v>
                </c:pt>
                <c:pt idx="11">
                  <c:v>74189</c:v>
                </c:pt>
                <c:pt idx="12">
                  <c:v>66082</c:v>
                </c:pt>
                <c:pt idx="13">
                  <c:v>68807</c:v>
                </c:pt>
                <c:pt idx="14">
                  <c:v>74302</c:v>
                </c:pt>
                <c:pt idx="15">
                  <c:v>78678</c:v>
                </c:pt>
                <c:pt idx="16">
                  <c:v>72855</c:v>
                </c:pt>
                <c:pt idx="17">
                  <c:v>72617</c:v>
                </c:pt>
                <c:pt idx="18">
                  <c:v>68072</c:v>
                </c:pt>
                <c:pt idx="19">
                  <c:v>65471</c:v>
                </c:pt>
                <c:pt idx="20">
                  <c:v>72100</c:v>
                </c:pt>
                <c:pt idx="21">
                  <c:v>70577</c:v>
                </c:pt>
                <c:pt idx="22">
                  <c:v>71812</c:v>
                </c:pt>
                <c:pt idx="23">
                  <c:v>76250</c:v>
                </c:pt>
              </c:numCache>
            </c:numRef>
          </c:val>
          <c:extLst xmlns:c16r2="http://schemas.microsoft.com/office/drawing/2015/06/chart">
            <c:ext xmlns:c16="http://schemas.microsoft.com/office/drawing/2014/chart" uri="{C3380CC4-5D6E-409C-BE32-E72D297353CC}">
              <c16:uniqueId val="{00000000-A848-448D-B0BC-6600DBE22207}"/>
            </c:ext>
          </c:extLst>
        </c:ser>
        <c:ser>
          <c:idx val="1"/>
          <c:order val="1"/>
          <c:tx>
            <c:strRef>
              <c:f>'Step 3 Total Actual Hours'!$B$8</c:f>
              <c:strCache>
                <c:ptCount val="1"/>
                <c:pt idx="0">
                  <c:v>UCS Actual Hours</c:v>
                </c:pt>
              </c:strCache>
            </c:strRef>
          </c:tx>
          <c:spPr>
            <a:solidFill>
              <a:schemeClr val="accent2"/>
            </a:solidFill>
            <a:ln>
              <a:noFill/>
            </a:ln>
            <a:effectLst/>
          </c:spPr>
          <c:invertIfNegative val="0"/>
          <c:cat>
            <c:numRef>
              <c:f>'Step 3 Total Actual Hours'!$Z$6:$AW$6</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Total Actual Hours'!$Z$8:$AW$8</c:f>
              <c:numCache>
                <c:formatCode>#,##0</c:formatCode>
                <c:ptCount val="24"/>
                <c:pt idx="0">
                  <c:v>12735</c:v>
                </c:pt>
                <c:pt idx="1">
                  <c:v>14048</c:v>
                </c:pt>
                <c:pt idx="2">
                  <c:v>13215</c:v>
                </c:pt>
                <c:pt idx="3">
                  <c:v>13451</c:v>
                </c:pt>
                <c:pt idx="4">
                  <c:v>13103</c:v>
                </c:pt>
                <c:pt idx="5">
                  <c:v>13596</c:v>
                </c:pt>
                <c:pt idx="6">
                  <c:v>13713</c:v>
                </c:pt>
                <c:pt idx="7">
                  <c:v>13350</c:v>
                </c:pt>
                <c:pt idx="8">
                  <c:v>13524</c:v>
                </c:pt>
                <c:pt idx="9">
                  <c:v>13603</c:v>
                </c:pt>
                <c:pt idx="10">
                  <c:v>12279</c:v>
                </c:pt>
                <c:pt idx="11">
                  <c:v>12573</c:v>
                </c:pt>
                <c:pt idx="12">
                  <c:v>11120</c:v>
                </c:pt>
                <c:pt idx="13">
                  <c:v>12786</c:v>
                </c:pt>
                <c:pt idx="14">
                  <c:v>11217</c:v>
                </c:pt>
                <c:pt idx="15">
                  <c:v>11263</c:v>
                </c:pt>
                <c:pt idx="16">
                  <c:v>12455</c:v>
                </c:pt>
                <c:pt idx="17">
                  <c:v>12264</c:v>
                </c:pt>
                <c:pt idx="18">
                  <c:v>12105</c:v>
                </c:pt>
                <c:pt idx="19">
                  <c:v>12766</c:v>
                </c:pt>
                <c:pt idx="20">
                  <c:v>13241</c:v>
                </c:pt>
                <c:pt idx="21">
                  <c:v>13105</c:v>
                </c:pt>
                <c:pt idx="22">
                  <c:v>12869</c:v>
                </c:pt>
                <c:pt idx="23">
                  <c:v>17533</c:v>
                </c:pt>
              </c:numCache>
            </c:numRef>
          </c:val>
          <c:extLst xmlns:c16r2="http://schemas.microsoft.com/office/drawing/2015/06/chart">
            <c:ext xmlns:c16="http://schemas.microsoft.com/office/drawing/2014/chart" uri="{C3380CC4-5D6E-409C-BE32-E72D297353CC}">
              <c16:uniqueId val="{00000001-A848-448D-B0BC-6600DBE22207}"/>
            </c:ext>
          </c:extLst>
        </c:ser>
        <c:ser>
          <c:idx val="2"/>
          <c:order val="2"/>
          <c:tx>
            <c:strRef>
              <c:f>'Step 3 Total Actual Hours'!$B$9</c:f>
              <c:strCache>
                <c:ptCount val="1"/>
                <c:pt idx="0">
                  <c:v>RRV Actual Hours</c:v>
                </c:pt>
              </c:strCache>
            </c:strRef>
          </c:tx>
          <c:spPr>
            <a:solidFill>
              <a:schemeClr val="accent6"/>
            </a:solidFill>
            <a:ln>
              <a:noFill/>
            </a:ln>
            <a:effectLst/>
          </c:spPr>
          <c:invertIfNegative val="0"/>
          <c:cat>
            <c:numRef>
              <c:f>'Step 3 Total Actual Hours'!$Z$6:$AW$6</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Total Actual Hours'!$Z$9:$AW$9</c:f>
              <c:numCache>
                <c:formatCode>#,##0</c:formatCode>
                <c:ptCount val="24"/>
                <c:pt idx="0">
                  <c:v>16923</c:v>
                </c:pt>
                <c:pt idx="1">
                  <c:v>18933</c:v>
                </c:pt>
                <c:pt idx="2">
                  <c:v>19071</c:v>
                </c:pt>
                <c:pt idx="3">
                  <c:v>19251</c:v>
                </c:pt>
                <c:pt idx="4">
                  <c:v>19891</c:v>
                </c:pt>
                <c:pt idx="5">
                  <c:v>19797</c:v>
                </c:pt>
                <c:pt idx="6">
                  <c:v>18930</c:v>
                </c:pt>
                <c:pt idx="7">
                  <c:v>18988</c:v>
                </c:pt>
                <c:pt idx="8">
                  <c:v>19012</c:v>
                </c:pt>
                <c:pt idx="9">
                  <c:v>18273</c:v>
                </c:pt>
                <c:pt idx="10">
                  <c:v>18346</c:v>
                </c:pt>
                <c:pt idx="11">
                  <c:v>19217</c:v>
                </c:pt>
                <c:pt idx="12">
                  <c:v>17209</c:v>
                </c:pt>
                <c:pt idx="13">
                  <c:v>17128</c:v>
                </c:pt>
                <c:pt idx="14">
                  <c:v>12354</c:v>
                </c:pt>
                <c:pt idx="15">
                  <c:v>14397</c:v>
                </c:pt>
                <c:pt idx="16">
                  <c:v>14551</c:v>
                </c:pt>
                <c:pt idx="17">
                  <c:v>15685</c:v>
                </c:pt>
                <c:pt idx="18">
                  <c:v>14909</c:v>
                </c:pt>
                <c:pt idx="19">
                  <c:v>15918</c:v>
                </c:pt>
                <c:pt idx="20">
                  <c:v>17362</c:v>
                </c:pt>
                <c:pt idx="21">
                  <c:v>13854</c:v>
                </c:pt>
                <c:pt idx="22">
                  <c:v>11546</c:v>
                </c:pt>
                <c:pt idx="23">
                  <c:v>14344</c:v>
                </c:pt>
              </c:numCache>
            </c:numRef>
          </c:val>
          <c:extLst xmlns:c16r2="http://schemas.microsoft.com/office/drawing/2015/06/chart">
            <c:ext xmlns:c16="http://schemas.microsoft.com/office/drawing/2014/chart" uri="{C3380CC4-5D6E-409C-BE32-E72D297353CC}">
              <c16:uniqueId val="{00000002-A848-448D-B0BC-6600DBE22207}"/>
            </c:ext>
          </c:extLst>
        </c:ser>
        <c:ser>
          <c:idx val="3"/>
          <c:order val="3"/>
          <c:tx>
            <c:strRef>
              <c:f>'Step 3 Total Actual Hours'!$B$10</c:f>
              <c:strCache>
                <c:ptCount val="1"/>
                <c:pt idx="0">
                  <c:v>APP Actual Hours</c:v>
                </c:pt>
              </c:strCache>
            </c:strRef>
          </c:tx>
          <c:spPr>
            <a:solidFill>
              <a:schemeClr val="accent4"/>
            </a:solidFill>
            <a:ln>
              <a:noFill/>
            </a:ln>
            <a:effectLst/>
          </c:spPr>
          <c:invertIfNegative val="0"/>
          <c:cat>
            <c:numRef>
              <c:f>'Step 3 Total Actual Hours'!$Z$6:$AW$6</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Total Actual Hours'!$Z$10:$AW$10</c:f>
              <c:numCache>
                <c:formatCode>#,##0</c:formatCode>
                <c:ptCount val="24"/>
                <c:pt idx="0">
                  <c:v>2248</c:v>
                </c:pt>
                <c:pt idx="1">
                  <c:v>2482</c:v>
                </c:pt>
                <c:pt idx="2">
                  <c:v>3238</c:v>
                </c:pt>
                <c:pt idx="3">
                  <c:v>3238</c:v>
                </c:pt>
                <c:pt idx="4">
                  <c:v>3078</c:v>
                </c:pt>
                <c:pt idx="5">
                  <c:v>3007</c:v>
                </c:pt>
                <c:pt idx="6">
                  <c:v>2643</c:v>
                </c:pt>
                <c:pt idx="7">
                  <c:v>3018</c:v>
                </c:pt>
                <c:pt idx="8">
                  <c:v>3263</c:v>
                </c:pt>
                <c:pt idx="9">
                  <c:v>3769</c:v>
                </c:pt>
                <c:pt idx="10">
                  <c:v>3712</c:v>
                </c:pt>
                <c:pt idx="11">
                  <c:v>3853</c:v>
                </c:pt>
                <c:pt idx="12">
                  <c:v>3285</c:v>
                </c:pt>
                <c:pt idx="13">
                  <c:v>3267</c:v>
                </c:pt>
                <c:pt idx="14">
                  <c:v>3665</c:v>
                </c:pt>
                <c:pt idx="15">
                  <c:v>4415</c:v>
                </c:pt>
                <c:pt idx="16">
                  <c:v>3695</c:v>
                </c:pt>
                <c:pt idx="17">
                  <c:v>3700</c:v>
                </c:pt>
                <c:pt idx="18">
                  <c:v>3516</c:v>
                </c:pt>
                <c:pt idx="19">
                  <c:v>3480</c:v>
                </c:pt>
                <c:pt idx="20">
                  <c:v>5253</c:v>
                </c:pt>
                <c:pt idx="21">
                  <c:v>4338</c:v>
                </c:pt>
                <c:pt idx="22">
                  <c:v>4719</c:v>
                </c:pt>
                <c:pt idx="23">
                  <c:v>4719</c:v>
                </c:pt>
              </c:numCache>
            </c:numRef>
          </c:val>
          <c:extLst xmlns:c16r2="http://schemas.microsoft.com/office/drawing/2015/06/chart">
            <c:ext xmlns:c16="http://schemas.microsoft.com/office/drawing/2014/chart" uri="{C3380CC4-5D6E-409C-BE32-E72D297353CC}">
              <c16:uniqueId val="{00000003-A848-448D-B0BC-6600DBE22207}"/>
            </c:ext>
          </c:extLst>
        </c:ser>
        <c:ser>
          <c:idx val="4"/>
          <c:order val="4"/>
          <c:tx>
            <c:strRef>
              <c:f>'Step 3 Total Actual Hours'!$B$11</c:f>
              <c:strCache>
                <c:ptCount val="1"/>
                <c:pt idx="0">
                  <c:v>CTL Actual Hours</c:v>
                </c:pt>
              </c:strCache>
            </c:strRef>
          </c:tx>
          <c:spPr>
            <a:solidFill>
              <a:srgbClr val="7030A0"/>
            </a:solidFill>
            <a:ln>
              <a:noFill/>
            </a:ln>
            <a:effectLst/>
          </c:spPr>
          <c:invertIfNegative val="0"/>
          <c:cat>
            <c:numRef>
              <c:f>'Step 3 Total Actual Hours'!$Z$6:$AW$6</c:f>
              <c:numCache>
                <c:formatCode>mmm\-yy</c:formatCode>
                <c:ptCount val="24"/>
                <c:pt idx="0">
                  <c:v>43497</c:v>
                </c:pt>
                <c:pt idx="1">
                  <c:v>43525</c:v>
                </c:pt>
                <c:pt idx="2">
                  <c:v>43556</c:v>
                </c:pt>
                <c:pt idx="3">
                  <c:v>43586</c:v>
                </c:pt>
                <c:pt idx="4">
                  <c:v>43617</c:v>
                </c:pt>
                <c:pt idx="5">
                  <c:v>43647</c:v>
                </c:pt>
                <c:pt idx="6">
                  <c:v>43678</c:v>
                </c:pt>
                <c:pt idx="7">
                  <c:v>43709</c:v>
                </c:pt>
                <c:pt idx="8">
                  <c:v>43739</c:v>
                </c:pt>
                <c:pt idx="9">
                  <c:v>43770</c:v>
                </c:pt>
                <c:pt idx="10">
                  <c:v>43800</c:v>
                </c:pt>
                <c:pt idx="11">
                  <c:v>43831</c:v>
                </c:pt>
                <c:pt idx="12">
                  <c:v>43862</c:v>
                </c:pt>
                <c:pt idx="13">
                  <c:v>43891</c:v>
                </c:pt>
                <c:pt idx="14">
                  <c:v>43922</c:v>
                </c:pt>
                <c:pt idx="15">
                  <c:v>43952</c:v>
                </c:pt>
                <c:pt idx="16">
                  <c:v>43983</c:v>
                </c:pt>
                <c:pt idx="17">
                  <c:v>44013</c:v>
                </c:pt>
                <c:pt idx="18">
                  <c:v>44044</c:v>
                </c:pt>
                <c:pt idx="19">
                  <c:v>44075</c:v>
                </c:pt>
                <c:pt idx="20">
                  <c:v>44105</c:v>
                </c:pt>
                <c:pt idx="21">
                  <c:v>44136</c:v>
                </c:pt>
                <c:pt idx="22">
                  <c:v>44166</c:v>
                </c:pt>
                <c:pt idx="23">
                  <c:v>44197</c:v>
                </c:pt>
              </c:numCache>
            </c:numRef>
          </c:cat>
          <c:val>
            <c:numRef>
              <c:f>'Step 3 Total Actual Hours'!$Z$11:$AW$11</c:f>
              <c:numCache>
                <c:formatCode>#,##0</c:formatCode>
                <c:ptCount val="24"/>
                <c:pt idx="0">
                  <c:v>7039</c:v>
                </c:pt>
                <c:pt idx="1">
                  <c:v>7737</c:v>
                </c:pt>
                <c:pt idx="2">
                  <c:v>7806</c:v>
                </c:pt>
                <c:pt idx="3">
                  <c:v>7806</c:v>
                </c:pt>
                <c:pt idx="4">
                  <c:v>7004</c:v>
                </c:pt>
                <c:pt idx="5">
                  <c:v>7891</c:v>
                </c:pt>
                <c:pt idx="6">
                  <c:v>8050</c:v>
                </c:pt>
                <c:pt idx="7">
                  <c:v>8391</c:v>
                </c:pt>
                <c:pt idx="8">
                  <c:v>8625</c:v>
                </c:pt>
                <c:pt idx="9">
                  <c:v>8387</c:v>
                </c:pt>
                <c:pt idx="10">
                  <c:v>8143</c:v>
                </c:pt>
                <c:pt idx="11">
                  <c:v>8974</c:v>
                </c:pt>
                <c:pt idx="12">
                  <c:v>7580</c:v>
                </c:pt>
                <c:pt idx="13">
                  <c:v>7927</c:v>
                </c:pt>
                <c:pt idx="14">
                  <c:v>10305</c:v>
                </c:pt>
                <c:pt idx="15">
                  <c:v>11011</c:v>
                </c:pt>
                <c:pt idx="16">
                  <c:v>10418</c:v>
                </c:pt>
                <c:pt idx="17">
                  <c:v>10049</c:v>
                </c:pt>
                <c:pt idx="18">
                  <c:v>9400</c:v>
                </c:pt>
                <c:pt idx="19">
                  <c:v>9043</c:v>
                </c:pt>
                <c:pt idx="20">
                  <c:v>10419</c:v>
                </c:pt>
                <c:pt idx="21">
                  <c:v>10358</c:v>
                </c:pt>
                <c:pt idx="22">
                  <c:v>9280</c:v>
                </c:pt>
                <c:pt idx="23">
                  <c:v>9280</c:v>
                </c:pt>
              </c:numCache>
            </c:numRef>
          </c:val>
          <c:extLst xmlns:c16r2="http://schemas.microsoft.com/office/drawing/2015/06/chart">
            <c:ext xmlns:c16="http://schemas.microsoft.com/office/drawing/2014/chart" uri="{C3380CC4-5D6E-409C-BE32-E72D297353CC}">
              <c16:uniqueId val="{00000000-86B8-4E0E-A0B4-72A24584C0FF}"/>
            </c:ext>
          </c:extLst>
        </c:ser>
        <c:dLbls>
          <c:showLegendKey val="0"/>
          <c:showVal val="0"/>
          <c:showCatName val="0"/>
          <c:showSerName val="0"/>
          <c:showPercent val="0"/>
          <c:showBubbleSize val="0"/>
        </c:dLbls>
        <c:gapWidth val="75"/>
        <c:overlap val="100"/>
        <c:axId val="-1146518400"/>
        <c:axId val="-1146521120"/>
      </c:barChart>
      <c:dateAx>
        <c:axId val="-1146518400"/>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521120"/>
        <c:crosses val="autoZero"/>
        <c:auto val="1"/>
        <c:lblOffset val="100"/>
        <c:baseTimeUnit val="months"/>
      </c:dateAx>
      <c:valAx>
        <c:axId val="-11465211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65184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B598F"/>
    <w:rsid w:val="002E58F8"/>
    <w:rsid w:val="00313B1C"/>
    <w:rsid w:val="003D75CF"/>
    <w:rsid w:val="00433922"/>
    <w:rsid w:val="00526316"/>
    <w:rsid w:val="00527038"/>
    <w:rsid w:val="00553C83"/>
    <w:rsid w:val="005D4A57"/>
    <w:rsid w:val="006455A3"/>
    <w:rsid w:val="00650ED8"/>
    <w:rsid w:val="006C1B93"/>
    <w:rsid w:val="006F36A9"/>
    <w:rsid w:val="00790E03"/>
    <w:rsid w:val="007975EA"/>
    <w:rsid w:val="007C7A58"/>
    <w:rsid w:val="008046DC"/>
    <w:rsid w:val="008A7846"/>
    <w:rsid w:val="008B111D"/>
    <w:rsid w:val="009347DC"/>
    <w:rsid w:val="009E1FF7"/>
    <w:rsid w:val="00A315F4"/>
    <w:rsid w:val="00AB391E"/>
    <w:rsid w:val="00AF6F6B"/>
    <w:rsid w:val="00B24355"/>
    <w:rsid w:val="00CA06B3"/>
    <w:rsid w:val="00CD7A65"/>
    <w:rsid w:val="00D12232"/>
    <w:rsid w:val="00D14343"/>
    <w:rsid w:val="00D57130"/>
    <w:rsid w:val="00DD7B03"/>
    <w:rsid w:val="00E570F7"/>
    <w:rsid w:val="00E60CDA"/>
    <w:rsid w:val="00E8741D"/>
    <w:rsid w:val="00EB7024"/>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D1E77E-D86B-4630-B58E-62851202BD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terms/"/>
    <ds:schemaRef ds:uri="2795bbee-07b4-4e79-98d8-0419d9871cad"/>
    <ds:schemaRef ds:uri="258d5018-feb4-45ec-8043-ac7152467c64"/>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A8651BD4-9613-4547-ABA7-289D96DE2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21</Pages>
  <Words>5070</Words>
  <Characters>28899</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33902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2021-03-03T08:56:00Z</cp:lastPrinted>
  <dcterms:created xsi:type="dcterms:W3CDTF">2021-03-02T13:15:00Z</dcterms:created>
  <dcterms:modified xsi:type="dcterms:W3CDTF">2021-03-03T16:15:00Z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